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F2B" w:rsidRPr="00BE537C" w:rsidRDefault="00055F2B" w:rsidP="00055F2B">
      <w:pPr>
        <w:shd w:val="clear" w:color="auto" w:fill="FFFFFF"/>
        <w:spacing w:before="150" w:after="150" w:line="240" w:lineRule="auto"/>
        <w:ind w:left="7230" w:right="45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  <w:r w:rsidRPr="00BE537C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  <w:r w:rsidRPr="00BE537C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до Методики</w:t>
      </w:r>
    </w:p>
    <w:p w:rsidR="009D21A7" w:rsidRPr="001D3302" w:rsidRDefault="009D21A7" w:rsidP="009D21A7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1D33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ОРЕНДНІ</w:t>
      </w:r>
      <w:r w:rsidRPr="001D3302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1D33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ставки для договорів оренди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комунального</w:t>
      </w:r>
      <w:r w:rsidRPr="001D330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майна</w:t>
      </w:r>
    </w:p>
    <w:tbl>
      <w:tblPr>
        <w:tblW w:w="524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390"/>
        <w:gridCol w:w="1837"/>
      </w:tblGrid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243"/>
            <w:bookmarkEnd w:id="0"/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Орендарі</w:t>
            </w:r>
          </w:p>
        </w:tc>
        <w:tc>
          <w:tcPr>
            <w:tcW w:w="1837" w:type="dxa"/>
            <w:hideMark/>
          </w:tcPr>
          <w:p w:rsidR="009D21A7" w:rsidRPr="00055F2B" w:rsidRDefault="00BE537C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ставка, відсотки</w:t>
            </w:r>
          </w:p>
        </w:tc>
      </w:tr>
      <w:tr w:rsidR="00D32368" w:rsidRPr="00055F2B" w:rsidTr="00055F2B">
        <w:trPr>
          <w:trHeight w:val="20"/>
          <w:jc w:val="center"/>
        </w:trPr>
        <w:tc>
          <w:tcPr>
            <w:tcW w:w="8392" w:type="dxa"/>
          </w:tcPr>
          <w:p w:rsidR="00D32368" w:rsidRPr="00055F2B" w:rsidRDefault="00D32368" w:rsidP="00BE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37" w:type="dxa"/>
          </w:tcPr>
          <w:p w:rsidR="00D32368" w:rsidRPr="00055F2B" w:rsidRDefault="00D32368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9D21A7" w:rsidRPr="00055F2B" w:rsidTr="00055F2B">
        <w:trPr>
          <w:trHeight w:val="1144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Для організації та проведення науково-практичних, культурних, мистецьких, громадських, суспільних та політичних заходів на строк, що не перевищує</w:t>
            </w:r>
            <w:r w:rsidR="00BE53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 календарних днів</w:t>
            </w:r>
            <w:r w:rsidR="00BE53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протягом одного року щодо кожного орендаря, якщо балансоутримувачем є комунальне підприємство, установа, організація, що провадить діяльність з організації конгресів і торговельних виставок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Приватні заклади освіти (суб’єкти підприємницької діяльності), які мають ліцензію на надання освітніх послуг у відповідній сфері (крім закладів освіти і суб’єктів підприємницької діяльності, виз</w:t>
            </w:r>
            <w:r w:rsidR="00BE53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начених у пунктах 11 та 18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додатка), на площі, що використовується для надання ліцензійних послуг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Для організації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</w:t>
            </w:r>
            <w:r w:rsidR="00BE53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протягом шести місяців, а також щодо майна, яке передається суб’єктам виборчого процесу з метою проведення публічних заходів (зборів, дебатів, дискусій) під час та на період виборчої кампанії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Державні та комунальні підприємства, установи, організації/ громадські організації у сфері культури і мистецтв (у тому числі національні творчі спілки або їх члени під творчі майстерні)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BE537C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Установи та</w:t>
            </w:r>
            <w:r w:rsidR="009D21A7"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організації, діяльність яких фінансується з місцевих бюджетів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 Державні видавництва і підприємства книгорозповсюдження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 Вітчизняні видавництва та підприємства книгорозповсюдження, що забезпечують підготовку, випуск та (або) розповсюдження не менш</w:t>
            </w:r>
            <w:r w:rsidR="00BD0D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як</w:t>
            </w:r>
            <w:r w:rsidR="00BE53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 відсотків книжкової продукції державною мовою (за винятком видань рекламного та еротичного характеру)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8. Дипломатичні представництва, консульські установи іноземних держав, представництва міжнародних організацій в Україні (крім договорів, орендна плата за якими врегульована міжнародними договорами України, згода на обов’язковість яких надана Верховною Радою України)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 Державні заклади освіти, що частково фінансуються з державного бюджету, та комунальні заклади освіти, що фінансуються з місцевого бюджету, які мають ліцензію на провадження освітньої діяльності у відповідній сфері (крім закладів освіти і суб’єктів підприємницької діяльнос</w:t>
            </w:r>
            <w:r w:rsidR="00BE53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ті, визначених у пункті 18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додатка)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 Заклади освіти, що мають ліцензію на провадження освітньої діяльності та засновані неприбутковими громадськими об’єднаннями, які отримують державне фінансування з держав - членів ЄС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 Приватні заклади загальної середньої освіти (суб’єкти підприємницької діяльності), які мають ліцензію на провадження освітньої діяльності у відповідній сфері, на площі, що використовується для надання ліцензійних послуг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055F2B" w:rsidRPr="00055F2B" w:rsidTr="00055F2B">
        <w:trPr>
          <w:trHeight w:val="128"/>
          <w:jc w:val="center"/>
        </w:trPr>
        <w:tc>
          <w:tcPr>
            <w:tcW w:w="8392" w:type="dxa"/>
          </w:tcPr>
          <w:p w:rsidR="00055F2B" w:rsidRPr="00055F2B" w:rsidRDefault="00055F2B" w:rsidP="00BE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837" w:type="dxa"/>
          </w:tcPr>
          <w:p w:rsidR="00055F2B" w:rsidRPr="00055F2B" w:rsidRDefault="00055F2B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12. Установи 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організації, діяльність яких частково фінансується за рахунок державного бюджету, ор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гани місцевого самоврядування,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їх добровільні об’єднання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13. Комунальні заклади охорони здоров’я, які утримуються за рахунок місцевих бюджетів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 Музеї, крім тих, які повністю фінансуються за рахунок державного бюджету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 Громадські об’єднання фізкультурно-спортивної спрямованості, що є неприбутко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вими організаціями, внесеними у Реєстр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неприбуткових установ та організацій, утворені ними спортивні клуби (крім спортивних клубів, що займаються професійним спортом), дитячо-юнацькі спортивні школи, школи вищої спортивної майстерності, центри олімпійської підготовки, центри студентського спорту закладів вищої освіти, центри фізичної культури і 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спорту для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осіб з інвалідністю, що є неприбутко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вими організаціями, внесеними у Реєстр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неприбут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кових установ та організацій (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виключно для проведення спортивних заходів або надання фізкультурно-спортивних послуг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16. Державні та комунальні спортивні клуби, дитячо-юнацькі спортивні школи, школи вищої спортивної майстерності, центри олімпійської підготовки, центри студентського спорту закладів вищої освіти, фізкультурно-оздоровчі заклади, центри фізичного здоров’я населення, центри фізичної культури і спорту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осіб з інвалідністю, а також бази олімпійської, </w:t>
            </w:r>
            <w:proofErr w:type="spellStart"/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паралімпійської</w:t>
            </w:r>
            <w:proofErr w:type="spellEnd"/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дефлімпійської</w:t>
            </w:r>
            <w:proofErr w:type="spellEnd"/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підготовки (крім орендарів, зазначених у </w:t>
            </w:r>
            <w:hyperlink r:id="rId8" w:anchor="n49" w:history="1">
              <w:r w:rsidRPr="00055F2B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пункті 1</w:t>
              </w:r>
            </w:hyperlink>
            <w:r w:rsidR="004F6E48"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Методики)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17. Комунальні заклади охорони здоров’я, які утримуються за рахунок місцевих бюджетів, та комунальні некомерційні підприємства, що утворилися у результаті реорганізації комунальних закладів охорони здоров’я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18. Заклади освіти, засновані на будь-якій формі власності, суб’єкти підприємницької діяльності, що мають ліцензію на надання освітніх послуг у сфері дошкільної освіти, на площі, що використовується для надання ліцензійних послуг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FE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19. Державні та комунальні спеціалізовані підприємства, установи та заклади соціального обслуговування, що надають соціальні послуги відповідно до </w:t>
            </w:r>
            <w:hyperlink r:id="rId9" w:tgtFrame="_blank" w:history="1">
              <w:r w:rsidRPr="00055F2B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Закону України</w:t>
              </w:r>
            </w:hyperlink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“Про соціальні послуги”</w:t>
            </w:r>
            <w:r w:rsidR="00CF13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  <w:bookmarkStart w:id="1" w:name="_GoBack"/>
            <w:bookmarkEnd w:id="1"/>
            <w:r w:rsidR="00FE08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E085E" w:rsidRPr="00FE08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 w:bidi="uk-UA"/>
              </w:rPr>
              <w:t>надавачі соціальних послуг, включені до Переліку підприємств, установ, організацій, що надають соціально важливі послуги населенню Житомирської обласної ради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20. Релігійні організації 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забезпечення проведення релігійних обрядів та церемоній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4224C4" w:rsidRDefault="004224C4" w:rsidP="004224C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площі не більше</w:t>
            </w:r>
            <w:r w:rsidR="009D21A7" w:rsidRP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50 кв. метрів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4224C4" w:rsidRDefault="004224C4" w:rsidP="004224C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</w:t>
            </w:r>
            <w:r w:rsidR="009D21A7" w:rsidRP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площі, що перевищує 50 кв. метрів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21. Народні депутати України або депутати місцевих рад для розміщення громадської приймальні, у тому числі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коли договір оренди від імені депутата укладається громадською організацією в інтересах депутата і для розміщення його депутатської приймальні (крім випадків, коли в інтересах народного депутата України діє уповноважений орган Верховної Ради України, в такому разі застосовується </w:t>
            </w:r>
            <w:hyperlink r:id="rId10" w:anchor="n49" w:history="1">
              <w:r w:rsidRPr="00055F2B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пункт 1</w:t>
              </w:r>
            </w:hyperlink>
            <w:r w:rsidR="004F6E48"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Методики):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4224C4" w:rsidRDefault="004224C4" w:rsidP="004224C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площі не більше 5</w:t>
            </w:r>
            <w:r w:rsidR="009D21A7" w:rsidRP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 кв. метрів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9D21A7" w:rsidRPr="00055F2B" w:rsidTr="006E2DA4">
        <w:trPr>
          <w:trHeight w:val="392"/>
          <w:jc w:val="center"/>
        </w:trPr>
        <w:tc>
          <w:tcPr>
            <w:tcW w:w="8392" w:type="dxa"/>
            <w:hideMark/>
          </w:tcPr>
          <w:p w:rsidR="00F75ABB" w:rsidRPr="00055F2B" w:rsidRDefault="004224C4" w:rsidP="006E2DA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</w:t>
            </w:r>
            <w:r w:rsidR="009D21A7" w:rsidRP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площі, що перевищує 50 кв. метрів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F75ABB" w:rsidRPr="00055F2B" w:rsidTr="00055F2B">
        <w:trPr>
          <w:trHeight w:val="128"/>
          <w:jc w:val="center"/>
        </w:trPr>
        <w:tc>
          <w:tcPr>
            <w:tcW w:w="8392" w:type="dxa"/>
          </w:tcPr>
          <w:p w:rsidR="00F75ABB" w:rsidRPr="00055F2B" w:rsidRDefault="00F75ABB" w:rsidP="00BE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837" w:type="dxa"/>
          </w:tcPr>
          <w:p w:rsidR="00F75ABB" w:rsidRPr="00055F2B" w:rsidRDefault="00F75ABB" w:rsidP="00F7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22. Громадські організації ветеранів 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реабілітаційних установ для ветеранів</w:t>
            </w:r>
            <w:r w:rsidR="004224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406DD9" w:rsidRDefault="00406DD9" w:rsidP="00406DD9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площі не більше </w:t>
            </w:r>
            <w:r w:rsidR="009D21A7" w:rsidRPr="00406D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 кв. метрів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406DD9" w:rsidRDefault="00920275" w:rsidP="00406DD9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 </w:t>
            </w:r>
            <w:r w:rsidR="009D21A7" w:rsidRPr="00406D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площі, що перевищує 100 кв. метрів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055F2B" w:rsidRDefault="009D21A7" w:rsidP="00BE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23. Реабілітаційні установи для осіб з інвалідністю та дітей з інвалідністю </w:t>
            </w:r>
            <w:r w:rsidR="009202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для розміщення таких реабілітаційних установ</w:t>
            </w:r>
            <w:r w:rsidR="009202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920275" w:rsidRDefault="00920275" w:rsidP="0092027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площі не більше</w:t>
            </w:r>
            <w:r w:rsidR="009D21A7" w:rsidRPr="009202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100 кв. метрів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9D21A7" w:rsidRPr="00055F2B" w:rsidTr="00055F2B">
        <w:trPr>
          <w:trHeight w:val="128"/>
          <w:jc w:val="center"/>
        </w:trPr>
        <w:tc>
          <w:tcPr>
            <w:tcW w:w="8392" w:type="dxa"/>
            <w:hideMark/>
          </w:tcPr>
          <w:p w:rsidR="009D21A7" w:rsidRPr="00920275" w:rsidRDefault="00920275" w:rsidP="00920275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r w:rsidR="009D21A7" w:rsidRPr="009202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площі, що перевищує 100 кв. метрів</w:t>
            </w:r>
          </w:p>
        </w:tc>
        <w:tc>
          <w:tcPr>
            <w:tcW w:w="1837" w:type="dxa"/>
            <w:hideMark/>
          </w:tcPr>
          <w:p w:rsidR="009D21A7" w:rsidRPr="00055F2B" w:rsidRDefault="009D21A7" w:rsidP="0005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55F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</w:tbl>
    <w:p w:rsidR="008C2144" w:rsidRDefault="008C2144" w:rsidP="008C2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ABB" w:rsidRDefault="00F75ABB" w:rsidP="008C2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ABB" w:rsidRDefault="00F75ABB" w:rsidP="008C2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44" w:rsidRPr="00480A57" w:rsidRDefault="008C2144" w:rsidP="008C21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A57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5295D" w:rsidRDefault="008C2144" w:rsidP="006E2DA4">
      <w:pPr>
        <w:spacing w:after="0" w:line="240" w:lineRule="auto"/>
        <w:ind w:right="-286"/>
        <w:jc w:val="both"/>
      </w:pPr>
      <w:r w:rsidRPr="00480A57">
        <w:rPr>
          <w:rFonts w:ascii="Times New Roman" w:hAnsi="Times New Roman" w:cs="Times New Roman"/>
          <w:sz w:val="28"/>
          <w:szCs w:val="28"/>
        </w:rPr>
        <w:t xml:space="preserve">голови обласної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75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2DA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480A57">
        <w:rPr>
          <w:rFonts w:ascii="Times New Roman" w:hAnsi="Times New Roman" w:cs="Times New Roman"/>
          <w:sz w:val="28"/>
          <w:szCs w:val="28"/>
        </w:rPr>
        <w:t>О.М. Дзюбенко</w:t>
      </w:r>
      <w:r w:rsidRPr="00480A57">
        <w:rPr>
          <w:rFonts w:ascii="Times New Roman" w:hAnsi="Times New Roman" w:cs="Times New Roman"/>
          <w:sz w:val="28"/>
          <w:szCs w:val="28"/>
        </w:rPr>
        <w:cr/>
      </w:r>
    </w:p>
    <w:sectPr w:rsidR="0085295D" w:rsidSect="006E2DA4">
      <w:headerReference w:type="default" r:id="rId11"/>
      <w:headerReference w:type="first" r:id="rId12"/>
      <w:pgSz w:w="11906" w:h="16838"/>
      <w:pgMar w:top="737" w:right="851" w:bottom="737" w:left="1418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0D" w:rsidRDefault="0094480D" w:rsidP="00D32368">
      <w:pPr>
        <w:spacing w:after="0" w:line="240" w:lineRule="auto"/>
      </w:pPr>
      <w:r>
        <w:separator/>
      </w:r>
    </w:p>
  </w:endnote>
  <w:endnote w:type="continuationSeparator" w:id="0">
    <w:p w:rsidR="0094480D" w:rsidRDefault="0094480D" w:rsidP="00D3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0D" w:rsidRDefault="0094480D" w:rsidP="00D32368">
      <w:pPr>
        <w:spacing w:after="0" w:line="240" w:lineRule="auto"/>
      </w:pPr>
      <w:r>
        <w:separator/>
      </w:r>
    </w:p>
  </w:footnote>
  <w:footnote w:type="continuationSeparator" w:id="0">
    <w:p w:rsidR="0094480D" w:rsidRDefault="0094480D" w:rsidP="00D32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602790"/>
      <w:docPartObj>
        <w:docPartGallery w:val="Page Numbers (Top of Page)"/>
        <w:docPartUnique/>
      </w:docPartObj>
    </w:sdtPr>
    <w:sdtEndPr/>
    <w:sdtContent>
      <w:p w:rsidR="00BE537C" w:rsidRDefault="00BE53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3AB" w:rsidRPr="00CF13AB">
          <w:rPr>
            <w:noProof/>
            <w:lang w:val="ru-RU"/>
          </w:rPr>
          <w:t>2</w:t>
        </w:r>
        <w:r>
          <w:fldChar w:fldCharType="end"/>
        </w:r>
      </w:p>
    </w:sdtContent>
  </w:sdt>
  <w:p w:rsidR="00D32368" w:rsidRDefault="00D3236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DA4" w:rsidRDefault="006E2DA4">
    <w:pPr>
      <w:pStyle w:val="a5"/>
      <w:jc w:val="center"/>
    </w:pPr>
  </w:p>
  <w:p w:rsidR="00BE537C" w:rsidRDefault="00BE53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07A0"/>
    <w:multiLevelType w:val="hybridMultilevel"/>
    <w:tmpl w:val="0F7C450C"/>
    <w:lvl w:ilvl="0" w:tplc="2BF2405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A7"/>
    <w:rsid w:val="00055F2B"/>
    <w:rsid w:val="0023320D"/>
    <w:rsid w:val="002348BB"/>
    <w:rsid w:val="002B2E32"/>
    <w:rsid w:val="003F7DA8"/>
    <w:rsid w:val="00406DD9"/>
    <w:rsid w:val="004224C4"/>
    <w:rsid w:val="004F6E48"/>
    <w:rsid w:val="006E2DA4"/>
    <w:rsid w:val="0085295D"/>
    <w:rsid w:val="008C2144"/>
    <w:rsid w:val="00920275"/>
    <w:rsid w:val="0094480D"/>
    <w:rsid w:val="009D21A7"/>
    <w:rsid w:val="00AB5A89"/>
    <w:rsid w:val="00BD0D47"/>
    <w:rsid w:val="00BE537C"/>
    <w:rsid w:val="00CF13AB"/>
    <w:rsid w:val="00D16BE7"/>
    <w:rsid w:val="00D32368"/>
    <w:rsid w:val="00DC7E0B"/>
    <w:rsid w:val="00F75ABB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8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323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2368"/>
  </w:style>
  <w:style w:type="paragraph" w:styleId="a7">
    <w:name w:val="footer"/>
    <w:basedOn w:val="a"/>
    <w:link w:val="a8"/>
    <w:uiPriority w:val="99"/>
    <w:unhideWhenUsed/>
    <w:rsid w:val="00D323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2368"/>
  </w:style>
  <w:style w:type="paragraph" w:styleId="a9">
    <w:name w:val="List Paragraph"/>
    <w:basedOn w:val="a"/>
    <w:uiPriority w:val="34"/>
    <w:qFormat/>
    <w:rsid w:val="004224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8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323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2368"/>
  </w:style>
  <w:style w:type="paragraph" w:styleId="a7">
    <w:name w:val="footer"/>
    <w:basedOn w:val="a"/>
    <w:link w:val="a8"/>
    <w:uiPriority w:val="99"/>
    <w:unhideWhenUsed/>
    <w:rsid w:val="00D323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2368"/>
  </w:style>
  <w:style w:type="paragraph" w:styleId="a9">
    <w:name w:val="List Paragraph"/>
    <w:basedOn w:val="a"/>
    <w:uiPriority w:val="34"/>
    <w:qFormat/>
    <w:rsid w:val="00422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30-2021-%D0%BF/prin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630-2021-%D0%BF/pri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671-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4005</Words>
  <Characters>2283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Тетяна Хижняк</cp:lastModifiedBy>
  <cp:revision>5</cp:revision>
  <cp:lastPrinted>2021-12-06T13:04:00Z</cp:lastPrinted>
  <dcterms:created xsi:type="dcterms:W3CDTF">2021-09-30T12:28:00Z</dcterms:created>
  <dcterms:modified xsi:type="dcterms:W3CDTF">2021-12-06T13:30:00Z</dcterms:modified>
</cp:coreProperties>
</file>