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67D" w:rsidRDefault="004E07A3" w:rsidP="000A51D6">
      <w:pPr>
        <w:spacing w:after="0"/>
        <w:ind w:right="-142" w:firstLine="142"/>
        <w:rPr>
          <w:rFonts w:ascii="Times New Roman" w:hAnsi="Times New Roman" w:cs="Times New Roman"/>
          <w:sz w:val="28"/>
          <w:szCs w:val="28"/>
        </w:rPr>
      </w:pPr>
      <w:r>
        <w:rPr>
          <w:rFonts w:ascii="Times New Roman" w:hAnsi="Times New Roman" w:cs="Times New Roman"/>
          <w:sz w:val="28"/>
          <w:szCs w:val="28"/>
        </w:rPr>
        <w:t xml:space="preserve">                                                                             </w:t>
      </w:r>
      <w:r w:rsidR="002D28AD">
        <w:rPr>
          <w:rFonts w:ascii="Times New Roman" w:hAnsi="Times New Roman" w:cs="Times New Roman"/>
          <w:sz w:val="28"/>
          <w:szCs w:val="28"/>
        </w:rPr>
        <w:t xml:space="preserve">    </w:t>
      </w:r>
      <w:r w:rsidR="007F11BC">
        <w:rPr>
          <w:rFonts w:ascii="Times New Roman" w:hAnsi="Times New Roman" w:cs="Times New Roman"/>
          <w:sz w:val="28"/>
          <w:szCs w:val="28"/>
        </w:rPr>
        <w:t>Додаток 2</w:t>
      </w:r>
    </w:p>
    <w:p w:rsidR="00EF467D" w:rsidRDefault="00EF467D" w:rsidP="00EF467D">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047EC">
        <w:rPr>
          <w:rFonts w:ascii="Times New Roman" w:hAnsi="Times New Roman" w:cs="Times New Roman"/>
          <w:sz w:val="28"/>
          <w:szCs w:val="28"/>
        </w:rPr>
        <w:t xml:space="preserve">  </w:t>
      </w:r>
      <w:r w:rsidR="007F11BC">
        <w:rPr>
          <w:rFonts w:ascii="Times New Roman" w:hAnsi="Times New Roman" w:cs="Times New Roman"/>
          <w:sz w:val="28"/>
          <w:szCs w:val="28"/>
        </w:rPr>
        <w:t>до рішення</w:t>
      </w:r>
      <w:r>
        <w:rPr>
          <w:rFonts w:ascii="Times New Roman" w:hAnsi="Times New Roman" w:cs="Times New Roman"/>
          <w:sz w:val="28"/>
          <w:szCs w:val="28"/>
        </w:rPr>
        <w:t xml:space="preserve"> обласної ради</w:t>
      </w:r>
    </w:p>
    <w:p w:rsidR="00EF467D" w:rsidRDefault="007F11BC" w:rsidP="00EF467D">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047EC">
        <w:rPr>
          <w:rFonts w:ascii="Times New Roman" w:hAnsi="Times New Roman" w:cs="Times New Roman"/>
          <w:sz w:val="28"/>
          <w:szCs w:val="28"/>
        </w:rPr>
        <w:t xml:space="preserve">  </w:t>
      </w:r>
      <w:r w:rsidR="006D44FE">
        <w:rPr>
          <w:rFonts w:ascii="Times New Roman" w:hAnsi="Times New Roman" w:cs="Times New Roman"/>
          <w:sz w:val="28"/>
          <w:szCs w:val="28"/>
        </w:rPr>
        <w:t xml:space="preserve">від   </w:t>
      </w:r>
      <w:r w:rsidR="00924050">
        <w:rPr>
          <w:rFonts w:ascii="Times New Roman" w:hAnsi="Times New Roman" w:cs="Times New Roman"/>
          <w:sz w:val="28"/>
          <w:szCs w:val="28"/>
        </w:rPr>
        <w:t xml:space="preserve">     </w:t>
      </w:r>
      <w:r w:rsidR="00C415C4">
        <w:rPr>
          <w:rFonts w:ascii="Times New Roman" w:hAnsi="Times New Roman" w:cs="Times New Roman"/>
          <w:sz w:val="28"/>
          <w:szCs w:val="28"/>
        </w:rPr>
        <w:t xml:space="preserve">          </w:t>
      </w:r>
      <w:r w:rsidR="00924050">
        <w:rPr>
          <w:rFonts w:ascii="Times New Roman" w:hAnsi="Times New Roman" w:cs="Times New Roman"/>
          <w:sz w:val="28"/>
          <w:szCs w:val="28"/>
        </w:rPr>
        <w:t xml:space="preserve">     </w:t>
      </w:r>
      <w:r w:rsidR="007E2C81">
        <w:rPr>
          <w:rFonts w:ascii="Times New Roman" w:hAnsi="Times New Roman" w:cs="Times New Roman"/>
          <w:sz w:val="28"/>
          <w:szCs w:val="28"/>
        </w:rPr>
        <w:t xml:space="preserve"> </w:t>
      </w:r>
      <w:r w:rsidR="00E37FDF">
        <w:rPr>
          <w:rFonts w:ascii="Times New Roman" w:hAnsi="Times New Roman" w:cs="Times New Roman"/>
          <w:sz w:val="28"/>
          <w:szCs w:val="28"/>
        </w:rPr>
        <w:t xml:space="preserve">№ </w:t>
      </w:r>
      <w:r w:rsidR="008B1152">
        <w:rPr>
          <w:rFonts w:ascii="Times New Roman" w:hAnsi="Times New Roman" w:cs="Times New Roman"/>
          <w:sz w:val="28"/>
          <w:szCs w:val="28"/>
        </w:rPr>
        <w:t xml:space="preserve">                          </w:t>
      </w:r>
    </w:p>
    <w:p w:rsidR="00EF467D" w:rsidRDefault="007F11BC" w:rsidP="00EF467D">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4E07A3" w:rsidRDefault="004E07A3" w:rsidP="00EF467D">
      <w:pPr>
        <w:spacing w:after="0"/>
        <w:rPr>
          <w:rFonts w:ascii="Times New Roman" w:hAnsi="Times New Roman" w:cs="Times New Roman"/>
          <w:sz w:val="28"/>
          <w:szCs w:val="28"/>
        </w:rPr>
      </w:pPr>
    </w:p>
    <w:p w:rsidR="004E07A3" w:rsidRDefault="004E07A3" w:rsidP="00EF467D">
      <w:pPr>
        <w:spacing w:after="0"/>
        <w:rPr>
          <w:rFonts w:ascii="Times New Roman" w:hAnsi="Times New Roman" w:cs="Times New Roman"/>
          <w:sz w:val="28"/>
          <w:szCs w:val="28"/>
        </w:rPr>
      </w:pPr>
    </w:p>
    <w:p w:rsidR="004E07A3" w:rsidRDefault="004E07A3" w:rsidP="00EF467D">
      <w:pPr>
        <w:spacing w:after="0"/>
        <w:rPr>
          <w:rFonts w:ascii="Times New Roman" w:hAnsi="Times New Roman" w:cs="Times New Roman"/>
          <w:sz w:val="28"/>
          <w:szCs w:val="28"/>
        </w:rPr>
      </w:pPr>
    </w:p>
    <w:p w:rsidR="00EF467D" w:rsidRDefault="00EF467D" w:rsidP="000A51D6">
      <w:pPr>
        <w:spacing w:after="0"/>
        <w:jc w:val="center"/>
        <w:rPr>
          <w:rFonts w:ascii="Times New Roman" w:hAnsi="Times New Roman" w:cs="Times New Roman"/>
          <w:sz w:val="28"/>
          <w:szCs w:val="28"/>
        </w:rPr>
      </w:pPr>
      <w:r>
        <w:rPr>
          <w:rFonts w:ascii="Times New Roman" w:hAnsi="Times New Roman" w:cs="Times New Roman"/>
          <w:sz w:val="28"/>
          <w:szCs w:val="28"/>
        </w:rPr>
        <w:t>Звіт</w:t>
      </w:r>
    </w:p>
    <w:p w:rsidR="00EF467D" w:rsidRDefault="00EF467D" w:rsidP="000A51D6">
      <w:pPr>
        <w:spacing w:after="0"/>
        <w:jc w:val="center"/>
        <w:rPr>
          <w:rFonts w:ascii="Times New Roman" w:hAnsi="Times New Roman" w:cs="Times New Roman"/>
          <w:sz w:val="28"/>
          <w:szCs w:val="28"/>
        </w:rPr>
      </w:pPr>
      <w:r>
        <w:rPr>
          <w:rFonts w:ascii="Times New Roman" w:hAnsi="Times New Roman" w:cs="Times New Roman"/>
          <w:sz w:val="28"/>
          <w:szCs w:val="28"/>
        </w:rPr>
        <w:t>за результатами оцінки корупційних ризиків у діяльності Житомирської обласної ради</w:t>
      </w:r>
      <w:r w:rsidR="00E72179">
        <w:rPr>
          <w:rFonts w:ascii="Times New Roman" w:hAnsi="Times New Roman" w:cs="Times New Roman"/>
          <w:sz w:val="28"/>
          <w:szCs w:val="28"/>
        </w:rPr>
        <w:t xml:space="preserve"> (далі</w:t>
      </w:r>
      <w:r w:rsidR="008656BD">
        <w:rPr>
          <w:rFonts w:ascii="Times New Roman" w:hAnsi="Times New Roman" w:cs="Times New Roman"/>
          <w:sz w:val="28"/>
          <w:szCs w:val="28"/>
        </w:rPr>
        <w:t>-</w:t>
      </w:r>
      <w:r w:rsidR="00E72179">
        <w:rPr>
          <w:rFonts w:ascii="Times New Roman" w:hAnsi="Times New Roman" w:cs="Times New Roman"/>
          <w:sz w:val="28"/>
          <w:szCs w:val="28"/>
        </w:rPr>
        <w:t>звіт)</w:t>
      </w:r>
    </w:p>
    <w:p w:rsidR="00EF467D" w:rsidRDefault="00EF467D" w:rsidP="000A51D6">
      <w:pPr>
        <w:spacing w:after="0"/>
        <w:jc w:val="both"/>
        <w:rPr>
          <w:rFonts w:ascii="Times New Roman" w:hAnsi="Times New Roman" w:cs="Times New Roman"/>
          <w:sz w:val="28"/>
          <w:szCs w:val="28"/>
        </w:rPr>
      </w:pPr>
    </w:p>
    <w:p w:rsidR="004E07A3" w:rsidRDefault="004E07A3" w:rsidP="000A51D6">
      <w:pPr>
        <w:spacing w:after="0"/>
        <w:jc w:val="both"/>
        <w:rPr>
          <w:rFonts w:ascii="Times New Roman" w:hAnsi="Times New Roman" w:cs="Times New Roman"/>
          <w:sz w:val="28"/>
          <w:szCs w:val="28"/>
        </w:rPr>
      </w:pPr>
    </w:p>
    <w:p w:rsidR="00EF467D" w:rsidRPr="00FC260B" w:rsidRDefault="001D79C4" w:rsidP="00A31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11C7" w:rsidRPr="00FC260B">
        <w:rPr>
          <w:rFonts w:ascii="Times New Roman" w:hAnsi="Times New Roman" w:cs="Times New Roman"/>
          <w:sz w:val="28"/>
          <w:szCs w:val="28"/>
        </w:rPr>
        <w:t>Постійною комісією з питань регламенту, депутатської діяльності, місцевого самоврядування, законності, правопорядку та антикорупційної діяльності</w:t>
      </w:r>
      <w:r w:rsidR="00EF467D" w:rsidRPr="00FC260B">
        <w:rPr>
          <w:rFonts w:ascii="Times New Roman" w:hAnsi="Times New Roman" w:cs="Times New Roman"/>
          <w:sz w:val="28"/>
          <w:szCs w:val="28"/>
        </w:rPr>
        <w:t xml:space="preserve"> відповідно до вимог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02 грудня 2016 року № 126, зареєстрованої в Міністерстві юстиції України 28 грудня 2016 року за №1718/29848, ідентифіковано корупційні ризики у діяльності Житомирської обласної ради, здійснено їх опис та проведено оцінку.</w:t>
      </w:r>
    </w:p>
    <w:p w:rsidR="00EF467D" w:rsidRPr="00FC260B" w:rsidRDefault="00EF467D"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ab/>
        <w:t xml:space="preserve">При ідентифікації корупційних ризиків у діяльності обласної ради </w:t>
      </w:r>
      <w:r w:rsidR="004D7A8A" w:rsidRPr="00FC260B">
        <w:rPr>
          <w:rFonts w:ascii="Times New Roman" w:hAnsi="Times New Roman" w:cs="Times New Roman"/>
          <w:sz w:val="28"/>
          <w:szCs w:val="28"/>
        </w:rPr>
        <w:t>проводилися</w:t>
      </w:r>
      <w:r w:rsidRPr="00FC260B">
        <w:rPr>
          <w:rFonts w:ascii="Times New Roman" w:hAnsi="Times New Roman" w:cs="Times New Roman"/>
          <w:sz w:val="28"/>
          <w:szCs w:val="28"/>
        </w:rPr>
        <w:t xml:space="preserve"> вивчення та аналіз організаційної структури обласної ради, положень про структурні підрозділи виконавчого апарату обласної ради, управління персоналом, контроль за діяльністю виконавчого апарату обласної ради. </w:t>
      </w:r>
    </w:p>
    <w:p w:rsidR="00EF467D" w:rsidRPr="00FC260B" w:rsidRDefault="00EF467D"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ab/>
        <w:t xml:space="preserve">Проведено також аналіз процедури і процесів прийняття рішень, прозорості та доступу до інформації, </w:t>
      </w:r>
      <w:r w:rsidR="004D7A8A" w:rsidRPr="00FC260B">
        <w:rPr>
          <w:rFonts w:ascii="Times New Roman" w:hAnsi="Times New Roman" w:cs="Times New Roman"/>
          <w:sz w:val="28"/>
          <w:szCs w:val="28"/>
        </w:rPr>
        <w:t>здійснення</w:t>
      </w:r>
      <w:r w:rsidRPr="00FC260B">
        <w:rPr>
          <w:rFonts w:ascii="Times New Roman" w:hAnsi="Times New Roman" w:cs="Times New Roman"/>
          <w:sz w:val="28"/>
          <w:szCs w:val="28"/>
        </w:rPr>
        <w:t xml:space="preserve"> правової роботи у виконавчому апараті обласної ради.</w:t>
      </w:r>
    </w:p>
    <w:p w:rsidR="00EF467D" w:rsidRPr="00FC260B" w:rsidRDefault="00EF467D"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ab/>
        <w:t>З урахуванням повноважень і завдань обласної ради, які визначені Конституцією України та законами України, комісія ідентифікувала та оцінила такі корупційні ризики</w:t>
      </w:r>
      <w:r w:rsidR="00B01CFD" w:rsidRPr="00FC260B">
        <w:rPr>
          <w:rFonts w:ascii="Times New Roman" w:hAnsi="Times New Roman" w:cs="Times New Roman"/>
          <w:sz w:val="28"/>
          <w:szCs w:val="28"/>
        </w:rPr>
        <w:t xml:space="preserve"> та їх чинники</w:t>
      </w:r>
      <w:r w:rsidRPr="00FC260B">
        <w:rPr>
          <w:rFonts w:ascii="Times New Roman" w:hAnsi="Times New Roman" w:cs="Times New Roman"/>
          <w:sz w:val="28"/>
          <w:szCs w:val="28"/>
        </w:rPr>
        <w:t>:</w:t>
      </w:r>
    </w:p>
    <w:p w:rsidR="00A46A5A" w:rsidRPr="00FC260B" w:rsidRDefault="00A46A5A" w:rsidP="00A31D51">
      <w:pPr>
        <w:spacing w:after="0" w:line="240" w:lineRule="auto"/>
        <w:jc w:val="both"/>
        <w:rPr>
          <w:rFonts w:ascii="Times New Roman" w:hAnsi="Times New Roman" w:cs="Times New Roman"/>
          <w:sz w:val="28"/>
          <w:szCs w:val="28"/>
        </w:rPr>
      </w:pPr>
    </w:p>
    <w:p w:rsidR="004E07A3" w:rsidRPr="00FC260B" w:rsidRDefault="004E07A3" w:rsidP="00A31D51">
      <w:pPr>
        <w:spacing w:after="0" w:line="240" w:lineRule="auto"/>
        <w:jc w:val="both"/>
        <w:rPr>
          <w:rFonts w:ascii="Times New Roman" w:hAnsi="Times New Roman" w:cs="Times New Roman"/>
          <w:sz w:val="28"/>
          <w:szCs w:val="28"/>
        </w:rPr>
      </w:pPr>
    </w:p>
    <w:p w:rsidR="00A46A5A" w:rsidRPr="00FC260B" w:rsidRDefault="00DC55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1. </w:t>
      </w:r>
      <w:proofErr w:type="spellStart"/>
      <w:r w:rsidR="006C0235" w:rsidRPr="00FC260B">
        <w:rPr>
          <w:rFonts w:ascii="Times New Roman" w:hAnsi="Times New Roman" w:cs="Times New Roman"/>
          <w:sz w:val="28"/>
          <w:szCs w:val="28"/>
        </w:rPr>
        <w:t>Недоброчесність</w:t>
      </w:r>
      <w:proofErr w:type="spellEnd"/>
      <w:r w:rsidR="006C0235" w:rsidRPr="00FC260B">
        <w:rPr>
          <w:rFonts w:ascii="Times New Roman" w:hAnsi="Times New Roman" w:cs="Times New Roman"/>
          <w:sz w:val="28"/>
          <w:szCs w:val="28"/>
        </w:rPr>
        <w:t xml:space="preserve"> </w:t>
      </w:r>
      <w:r w:rsidR="00A46A5A" w:rsidRPr="00FC260B">
        <w:rPr>
          <w:rFonts w:ascii="Times New Roman" w:hAnsi="Times New Roman" w:cs="Times New Roman"/>
          <w:sz w:val="28"/>
          <w:szCs w:val="28"/>
        </w:rPr>
        <w:t>працівників виконавчого апарату під час опрацювання запитів на публічну інформацію, звернень громадян.</w:t>
      </w:r>
      <w:r w:rsidR="00B01CFD" w:rsidRPr="00FC260B">
        <w:rPr>
          <w:rFonts w:ascii="Times New Roman" w:hAnsi="Times New Roman" w:cs="Times New Roman"/>
          <w:sz w:val="28"/>
          <w:szCs w:val="28"/>
        </w:rPr>
        <w:t xml:space="preserve"> Чинник даного корупційного ризику: відсутність автоматизованої системи реєстрації та опрацювання документів у обласній раді.</w:t>
      </w:r>
    </w:p>
    <w:p w:rsidR="00E047EC" w:rsidRPr="00FC260B" w:rsidRDefault="00DC55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2. </w:t>
      </w:r>
      <w:proofErr w:type="spellStart"/>
      <w:r w:rsidR="006C0235" w:rsidRPr="00FC260B">
        <w:rPr>
          <w:rFonts w:ascii="Times New Roman" w:hAnsi="Times New Roman" w:cs="Times New Roman"/>
          <w:sz w:val="28"/>
          <w:szCs w:val="28"/>
        </w:rPr>
        <w:t>Недоброчесність</w:t>
      </w:r>
      <w:proofErr w:type="spellEnd"/>
      <w:r w:rsidR="006C0235" w:rsidRPr="00FC260B">
        <w:rPr>
          <w:rFonts w:ascii="Times New Roman" w:hAnsi="Times New Roman" w:cs="Times New Roman"/>
          <w:sz w:val="28"/>
          <w:szCs w:val="28"/>
        </w:rPr>
        <w:t xml:space="preserve"> депутатів при заповненні е-декларацій </w:t>
      </w:r>
      <w:r w:rsidR="006D44FE" w:rsidRPr="00FC260B">
        <w:rPr>
          <w:rFonts w:ascii="Times New Roman" w:hAnsi="Times New Roman" w:cs="Times New Roman"/>
          <w:sz w:val="28"/>
          <w:szCs w:val="28"/>
        </w:rPr>
        <w:t>про фінансовий та майновий стан.</w:t>
      </w:r>
      <w:r w:rsidR="006C0235" w:rsidRPr="00FC260B">
        <w:rPr>
          <w:rFonts w:ascii="Times New Roman" w:hAnsi="Times New Roman" w:cs="Times New Roman"/>
          <w:sz w:val="28"/>
          <w:szCs w:val="28"/>
        </w:rPr>
        <w:t xml:space="preserve"> </w:t>
      </w:r>
      <w:r w:rsidR="00B01CFD" w:rsidRPr="00FC260B">
        <w:rPr>
          <w:rFonts w:ascii="Times New Roman" w:hAnsi="Times New Roman" w:cs="Times New Roman"/>
          <w:sz w:val="28"/>
          <w:szCs w:val="28"/>
        </w:rPr>
        <w:t>Чинник даного корупційного ризику: приховування інформації особиста зацікавленість, не проведення тренінгів і навчань щодо правильності заповнення е-декларацій.</w:t>
      </w:r>
    </w:p>
    <w:p w:rsidR="008E248E" w:rsidRPr="00FC260B" w:rsidRDefault="00DC5562" w:rsidP="00A31D51">
      <w:pPr>
        <w:spacing w:line="240" w:lineRule="auto"/>
        <w:jc w:val="both"/>
        <w:rPr>
          <w:rFonts w:ascii="Times New Roman" w:hAnsi="Times New Roman" w:cs="Times New Roman"/>
          <w:sz w:val="28"/>
          <w:szCs w:val="28"/>
        </w:rPr>
      </w:pPr>
      <w:r w:rsidRPr="00FC260B">
        <w:rPr>
          <w:rFonts w:ascii="Times New Roman" w:hAnsi="Times New Roman" w:cs="Times New Roman"/>
          <w:sz w:val="28"/>
          <w:szCs w:val="28"/>
        </w:rPr>
        <w:t xml:space="preserve">3. </w:t>
      </w:r>
      <w:proofErr w:type="spellStart"/>
      <w:r w:rsidR="004E07A3" w:rsidRPr="00FC260B">
        <w:rPr>
          <w:rFonts w:ascii="Times New Roman" w:hAnsi="Times New Roman" w:cs="Times New Roman"/>
          <w:sz w:val="28"/>
          <w:szCs w:val="28"/>
        </w:rPr>
        <w:t>Недоброчесність</w:t>
      </w:r>
      <w:proofErr w:type="spellEnd"/>
      <w:r w:rsidR="004E07A3" w:rsidRPr="00FC260B">
        <w:rPr>
          <w:rFonts w:ascii="Times New Roman" w:hAnsi="Times New Roman" w:cs="Times New Roman"/>
          <w:sz w:val="28"/>
          <w:szCs w:val="28"/>
        </w:rPr>
        <w:t xml:space="preserve">, дискреційні повноваження депутатів обласної ради, голів та членів постійних комісій  обласної ради у прийнятті рішень при затвердженні, опрацюванні комплексних та галузевих обласних програм </w:t>
      </w:r>
      <w:r w:rsidR="004E07A3" w:rsidRPr="00FC260B">
        <w:rPr>
          <w:rFonts w:ascii="Times New Roman" w:hAnsi="Times New Roman" w:cs="Times New Roman"/>
          <w:sz w:val="28"/>
          <w:szCs w:val="28"/>
        </w:rPr>
        <w:lastRenderedPageBreak/>
        <w:t>медичного,  соціально-економічного та культурного розвитку.</w:t>
      </w:r>
      <w:r w:rsidR="00B01CFD" w:rsidRPr="00FC260B">
        <w:rPr>
          <w:rFonts w:ascii="Times New Roman" w:hAnsi="Times New Roman" w:cs="Times New Roman"/>
          <w:sz w:val="28"/>
          <w:szCs w:val="28"/>
        </w:rPr>
        <w:t xml:space="preserve"> Чинник даного корупційного ризику:</w:t>
      </w:r>
      <w:r w:rsidRPr="00FC260B">
        <w:rPr>
          <w:rFonts w:ascii="Times New Roman" w:hAnsi="Times New Roman" w:cs="Times New Roman"/>
          <w:sz w:val="28"/>
          <w:szCs w:val="28"/>
        </w:rPr>
        <w:t xml:space="preserve"> </w:t>
      </w:r>
      <w:r w:rsidR="00D32405" w:rsidRPr="00FC260B">
        <w:rPr>
          <w:rFonts w:ascii="Times New Roman" w:hAnsi="Times New Roman" w:cs="Times New Roman"/>
          <w:sz w:val="28"/>
          <w:szCs w:val="28"/>
        </w:rPr>
        <w:t>особиста зацікавленість, або вигода посадової особи органів місцевого самоврядування, депутатів обласної ради.</w:t>
      </w:r>
    </w:p>
    <w:p w:rsidR="008E248E" w:rsidRPr="00FC260B" w:rsidRDefault="00DC5562" w:rsidP="00A31D51">
      <w:pPr>
        <w:pStyle w:val="a3"/>
        <w:spacing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4. </w:t>
      </w:r>
      <w:r w:rsidR="008E248E" w:rsidRPr="00FC260B">
        <w:rPr>
          <w:rFonts w:ascii="Times New Roman" w:hAnsi="Times New Roman" w:cs="Times New Roman"/>
          <w:sz w:val="28"/>
          <w:szCs w:val="28"/>
        </w:rPr>
        <w:t>Можливість впливу членів конкурсної комісії з відбору кандидатів на зайняття вакантних посад керівників комунальних підприємств, установ, організацій щодо прийняття відповідного рішення, зокрема у зв’язку з особистою зацікавленістю в результатах відбору.</w:t>
      </w:r>
      <w:r w:rsidR="00B01CFD" w:rsidRPr="00FC260B">
        <w:rPr>
          <w:rFonts w:ascii="Times New Roman" w:hAnsi="Times New Roman" w:cs="Times New Roman"/>
          <w:sz w:val="28"/>
          <w:szCs w:val="28"/>
        </w:rPr>
        <w:t xml:space="preserve"> Чинник даного корупційного ризику:</w:t>
      </w:r>
      <w:r w:rsidR="00D32405" w:rsidRPr="00FC260B">
        <w:rPr>
          <w:rFonts w:ascii="Times New Roman" w:hAnsi="Times New Roman" w:cs="Times New Roman"/>
          <w:sz w:val="28"/>
          <w:szCs w:val="28"/>
        </w:rPr>
        <w:t xml:space="preserve"> дискреційні повноваження конкурсної комісії, відсутність у складі комісії незалежних представників, не зазначення у документації за результатами проведення конкурсу мотивів прийняття рішення, недостатній контроль з боку керівництва за діяльністю конкурсної комісії, особиста зацікавленість або не доброчесність членів конкурсної комісії.</w:t>
      </w:r>
    </w:p>
    <w:p w:rsidR="004E07A3" w:rsidRPr="00FC260B" w:rsidRDefault="00DC55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5. </w:t>
      </w:r>
      <w:r w:rsidR="008E248E" w:rsidRPr="00FC260B">
        <w:rPr>
          <w:rFonts w:ascii="Times New Roman" w:hAnsi="Times New Roman" w:cs="Times New Roman"/>
          <w:sz w:val="28"/>
          <w:szCs w:val="28"/>
        </w:rPr>
        <w:t>Поширення службової інформації третім особам не доброчесною посадовою особою виконавчого апарату або управління комунального майна обласної ради, який має особистий інтерес або зацікавлена третіми особами</w:t>
      </w:r>
      <w:r w:rsidR="00A46A5A" w:rsidRPr="00FC260B">
        <w:rPr>
          <w:rFonts w:ascii="Times New Roman" w:hAnsi="Times New Roman" w:cs="Times New Roman"/>
          <w:sz w:val="28"/>
          <w:szCs w:val="28"/>
        </w:rPr>
        <w:t>.</w:t>
      </w:r>
      <w:r w:rsidR="00B01CFD" w:rsidRPr="00FC260B">
        <w:rPr>
          <w:rFonts w:ascii="Times New Roman" w:hAnsi="Times New Roman" w:cs="Times New Roman"/>
          <w:sz w:val="28"/>
          <w:szCs w:val="28"/>
        </w:rPr>
        <w:t xml:space="preserve"> Чинник даного корупційного ризику:</w:t>
      </w:r>
      <w:r w:rsidR="00416A92" w:rsidRPr="00FC260B">
        <w:rPr>
          <w:rFonts w:ascii="Times New Roman" w:hAnsi="Times New Roman" w:cs="Times New Roman"/>
          <w:sz w:val="28"/>
          <w:szCs w:val="28"/>
        </w:rPr>
        <w:t xml:space="preserve"> порушення норм етики, непорядність та особиста вигода посадової особи виконавчого апарату або управління комунального майна обласної ради, не дієвий механізм відповідного контролю.</w:t>
      </w:r>
    </w:p>
    <w:p w:rsidR="004E07A3" w:rsidRPr="00FC260B" w:rsidRDefault="00DC55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6. </w:t>
      </w:r>
      <w:r w:rsidR="004E07A3" w:rsidRPr="00FC260B">
        <w:rPr>
          <w:rFonts w:ascii="Times New Roman" w:hAnsi="Times New Roman" w:cs="Times New Roman"/>
          <w:sz w:val="28"/>
          <w:szCs w:val="28"/>
        </w:rPr>
        <w:t>Можливість впливу посадових осіб місцевого самоврядування, депутатів обласної ради на вирішення питання про продаж, передачу в оренду, під заставу об’єктів комунальної власності або прийняття рішення про здійснення державно-приватного партнерства щодо об’єктів комунальної власності, у тому числі на умовах концесії, що забезпечують спільні потреби територіальних громад і перебувають в управлінні обласної ради.</w:t>
      </w:r>
      <w:r w:rsidR="00B01CFD" w:rsidRPr="00FC260B">
        <w:rPr>
          <w:rFonts w:ascii="Times New Roman" w:hAnsi="Times New Roman" w:cs="Times New Roman"/>
          <w:sz w:val="28"/>
          <w:szCs w:val="28"/>
        </w:rPr>
        <w:t xml:space="preserve"> Чинник даного корупційного ризику:</w:t>
      </w:r>
      <w:r w:rsidR="00416A92" w:rsidRPr="00FC260B">
        <w:rPr>
          <w:rFonts w:ascii="Times New Roman" w:hAnsi="Times New Roman" w:cs="Times New Roman"/>
          <w:sz w:val="28"/>
          <w:szCs w:val="28"/>
        </w:rPr>
        <w:t xml:space="preserve"> дискреційні повноваження депутатів обласної ради, посадових осіб виконавчого апарату обласної ради.</w:t>
      </w:r>
    </w:p>
    <w:p w:rsidR="008E248E" w:rsidRPr="00FC260B" w:rsidRDefault="00DC55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7. </w:t>
      </w:r>
      <w:r w:rsidR="008E248E" w:rsidRPr="00FC260B">
        <w:rPr>
          <w:rFonts w:ascii="Times New Roman" w:hAnsi="Times New Roman" w:cs="Times New Roman"/>
          <w:sz w:val="28"/>
          <w:szCs w:val="28"/>
        </w:rPr>
        <w:t>Наявність дискреційних  повноваження щодо визначення  постачальників товарів, робіт та послуг при здійсненні закупівель.</w:t>
      </w:r>
      <w:r w:rsidR="00B01CFD" w:rsidRPr="00FC260B">
        <w:rPr>
          <w:rFonts w:ascii="Times New Roman" w:hAnsi="Times New Roman" w:cs="Times New Roman"/>
          <w:sz w:val="28"/>
          <w:szCs w:val="28"/>
        </w:rPr>
        <w:t xml:space="preserve"> Чинник даного корупційного ризику:</w:t>
      </w:r>
      <w:r w:rsidR="00786258" w:rsidRPr="00FC260B">
        <w:rPr>
          <w:rFonts w:ascii="Times New Roman" w:hAnsi="Times New Roman" w:cs="Times New Roman"/>
          <w:sz w:val="28"/>
          <w:szCs w:val="28"/>
        </w:rPr>
        <w:t xml:space="preserve"> приватний інтерес посадової особи щодо надання переваг певним постачальникам товарів, робіт, послуг, недобросовісність виконання посадових обов’язків, порушення норм законодавства.</w:t>
      </w:r>
    </w:p>
    <w:p w:rsidR="00786258" w:rsidRPr="00FC260B" w:rsidRDefault="00BA4C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 xml:space="preserve">8. </w:t>
      </w:r>
      <w:r w:rsidR="008E248E" w:rsidRPr="00FC260B">
        <w:rPr>
          <w:rFonts w:ascii="Times New Roman" w:hAnsi="Times New Roman" w:cs="Times New Roman"/>
          <w:sz w:val="28"/>
          <w:szCs w:val="28"/>
        </w:rPr>
        <w:t>Дискреційні повноваження під час підготовки тендерної документації щодо її формування під конкретного постачальника.</w:t>
      </w:r>
      <w:r w:rsidR="00B01CFD" w:rsidRPr="00FC260B">
        <w:rPr>
          <w:rFonts w:ascii="Times New Roman" w:hAnsi="Times New Roman" w:cs="Times New Roman"/>
          <w:sz w:val="28"/>
          <w:szCs w:val="28"/>
        </w:rPr>
        <w:t xml:space="preserve"> Чинник даного корупційного ризику:</w:t>
      </w:r>
      <w:r w:rsidR="00786258" w:rsidRPr="00FC260B">
        <w:rPr>
          <w:rFonts w:ascii="Times New Roman" w:hAnsi="Times New Roman" w:cs="Times New Roman"/>
          <w:sz w:val="28"/>
          <w:szCs w:val="28"/>
        </w:rPr>
        <w:t xml:space="preserve"> порушення умов конкуренції серед учасників процедури закупівель, необ’єктивна та упереджена оцінка пропозицій учасників процедури закупівель, порушення вимог Закону України «Про публічні закупівлі».</w:t>
      </w:r>
    </w:p>
    <w:p w:rsidR="004E07A3" w:rsidRPr="00FC260B" w:rsidRDefault="004E07A3" w:rsidP="00A31D51">
      <w:pPr>
        <w:spacing w:after="0" w:line="240" w:lineRule="auto"/>
        <w:jc w:val="both"/>
        <w:rPr>
          <w:rFonts w:ascii="Times New Roman" w:hAnsi="Times New Roman" w:cs="Times New Roman"/>
          <w:sz w:val="28"/>
          <w:szCs w:val="28"/>
        </w:rPr>
      </w:pPr>
    </w:p>
    <w:p w:rsidR="008E248E" w:rsidRPr="00FC260B" w:rsidRDefault="00BA4C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9</w:t>
      </w:r>
      <w:r w:rsidR="00DC5562" w:rsidRPr="00FC260B">
        <w:rPr>
          <w:rFonts w:ascii="Times New Roman" w:hAnsi="Times New Roman" w:cs="Times New Roman"/>
          <w:sz w:val="28"/>
          <w:szCs w:val="28"/>
        </w:rPr>
        <w:t xml:space="preserve">. </w:t>
      </w:r>
      <w:r w:rsidR="004E07A3" w:rsidRPr="00FC260B">
        <w:rPr>
          <w:rFonts w:ascii="Times New Roman" w:hAnsi="Times New Roman" w:cs="Times New Roman"/>
          <w:sz w:val="28"/>
          <w:szCs w:val="28"/>
        </w:rPr>
        <w:t xml:space="preserve">Дискреційні повноваження керівників певних структурних підрозділів виконавчого апарату обласної ради, членів постійних комісій обласної ради (депутатів), у питаннях встановлення тарифів на житлово-комунальні послуги, які надаються підприємствами, що перебувають у спільній власності територіальних громад, представництво інтересів яких здійснює </w:t>
      </w:r>
      <w:r w:rsidR="004E07A3" w:rsidRPr="00FC260B">
        <w:rPr>
          <w:rFonts w:ascii="Times New Roman" w:hAnsi="Times New Roman" w:cs="Times New Roman"/>
          <w:sz w:val="28"/>
          <w:szCs w:val="28"/>
        </w:rPr>
        <w:lastRenderedPageBreak/>
        <w:t>обласна рада, а також суб’єктами господарювання, що здійснюють управління (експлуатацію) цілісними майновими</w:t>
      </w:r>
      <w:r w:rsidR="00B01CFD" w:rsidRPr="00FC260B">
        <w:rPr>
          <w:rFonts w:ascii="Times New Roman" w:hAnsi="Times New Roman" w:cs="Times New Roman"/>
          <w:sz w:val="28"/>
          <w:szCs w:val="28"/>
        </w:rPr>
        <w:t>. Чинник даного корупційного ризику:</w:t>
      </w:r>
      <w:r w:rsidR="00786258" w:rsidRPr="00FC260B">
        <w:rPr>
          <w:rFonts w:ascii="Times New Roman" w:hAnsi="Times New Roman" w:cs="Times New Roman"/>
          <w:sz w:val="28"/>
          <w:szCs w:val="28"/>
        </w:rPr>
        <w:t xml:space="preserve"> </w:t>
      </w:r>
      <w:r w:rsidR="0042568F" w:rsidRPr="00FC260B">
        <w:rPr>
          <w:rFonts w:ascii="Times New Roman" w:hAnsi="Times New Roman" w:cs="Times New Roman"/>
          <w:sz w:val="28"/>
          <w:szCs w:val="28"/>
        </w:rPr>
        <w:t>приватний інтерес посадових осіб недобросовісність виконання посадових обов’язків, порушення норм законодавства.</w:t>
      </w:r>
    </w:p>
    <w:p w:rsidR="008E248E" w:rsidRPr="00FC260B" w:rsidRDefault="00BA4C62" w:rsidP="00A31D51">
      <w:pPr>
        <w:pStyle w:val="a3"/>
        <w:spacing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10</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Несанкціоноване використання веб-сайту обласної ради, знищення інформації або розміщення сторонньої інформації, несанкціонована розсилка електронної  пошти з офіційної поштової скриньки обласної ради.</w:t>
      </w:r>
      <w:r w:rsidR="00B01CFD" w:rsidRPr="00FC260B">
        <w:rPr>
          <w:rFonts w:ascii="Times New Roman" w:hAnsi="Times New Roman" w:cs="Times New Roman"/>
          <w:sz w:val="28"/>
          <w:szCs w:val="28"/>
        </w:rPr>
        <w:t xml:space="preserve"> Чинник даного корупційного ризику:</w:t>
      </w:r>
      <w:r w:rsidR="0042568F" w:rsidRPr="00FC260B">
        <w:rPr>
          <w:rFonts w:ascii="Times New Roman" w:hAnsi="Times New Roman" w:cs="Times New Roman"/>
          <w:sz w:val="28"/>
          <w:szCs w:val="28"/>
        </w:rPr>
        <w:t xml:space="preserve"> відсутність внутрішнього порядку подання та розміщення інформації на офіційному веб-сайті обласної ради.</w:t>
      </w:r>
    </w:p>
    <w:p w:rsidR="008E248E" w:rsidRPr="00FC260B" w:rsidRDefault="004E07A3"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 </w:t>
      </w:r>
      <w:r w:rsidR="00BA4C62" w:rsidRPr="00FC260B">
        <w:rPr>
          <w:rFonts w:ascii="Times New Roman" w:hAnsi="Times New Roman" w:cs="Times New Roman"/>
          <w:sz w:val="28"/>
          <w:szCs w:val="28"/>
        </w:rPr>
        <w:t>11</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 xml:space="preserve">Можлива </w:t>
      </w:r>
      <w:proofErr w:type="spellStart"/>
      <w:r w:rsidR="008E248E" w:rsidRPr="00FC260B">
        <w:rPr>
          <w:rFonts w:ascii="Times New Roman" w:hAnsi="Times New Roman" w:cs="Times New Roman"/>
          <w:sz w:val="28"/>
          <w:szCs w:val="28"/>
        </w:rPr>
        <w:t>недоброчесність</w:t>
      </w:r>
      <w:proofErr w:type="spellEnd"/>
      <w:r w:rsidR="008E248E" w:rsidRPr="00FC260B">
        <w:rPr>
          <w:rFonts w:ascii="Times New Roman" w:hAnsi="Times New Roman" w:cs="Times New Roman"/>
          <w:sz w:val="28"/>
          <w:szCs w:val="28"/>
        </w:rPr>
        <w:t xml:space="preserve"> депутатів обласної ради при прийнятті рішення щодо надання одноразової грошової допомоги громадянам.</w:t>
      </w:r>
      <w:r w:rsidR="004365DF" w:rsidRPr="00FC260B">
        <w:rPr>
          <w:rFonts w:ascii="Times New Roman" w:hAnsi="Times New Roman" w:cs="Times New Roman"/>
          <w:sz w:val="28"/>
          <w:szCs w:val="28"/>
        </w:rPr>
        <w:t xml:space="preserve"> Чинник даного корупційного ризику: відсутність або недостатність контролю за дотриманням чинного законодавства, приватний інтерес посадової особи щодо надання переваг певним зацікавленим особам.</w:t>
      </w:r>
    </w:p>
    <w:p w:rsidR="004E07A3" w:rsidRPr="00FC260B" w:rsidRDefault="00BA4C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12</w:t>
      </w:r>
      <w:r w:rsidR="00DC5562" w:rsidRPr="00FC260B">
        <w:rPr>
          <w:rFonts w:ascii="Times New Roman" w:hAnsi="Times New Roman" w:cs="Times New Roman"/>
          <w:sz w:val="28"/>
          <w:szCs w:val="28"/>
        </w:rPr>
        <w:t xml:space="preserve">. </w:t>
      </w:r>
      <w:r w:rsidR="004E07A3" w:rsidRPr="00FC260B">
        <w:rPr>
          <w:rFonts w:ascii="Times New Roman" w:hAnsi="Times New Roman" w:cs="Times New Roman"/>
          <w:sz w:val="28"/>
          <w:szCs w:val="28"/>
        </w:rPr>
        <w:t>Можлива не доброчесність посадових осіб, працівників виконавчого апарату обласної ради, депутатського корпусу обласної ради стосовно питань про надання дозволу на спеціальне використання природних ресурсів відповідно районного, обласного значення, а також про скасування таких дозволів.</w:t>
      </w:r>
      <w:r w:rsidR="00B01CFD" w:rsidRPr="00FC260B">
        <w:rPr>
          <w:rFonts w:ascii="Times New Roman" w:hAnsi="Times New Roman" w:cs="Times New Roman"/>
          <w:sz w:val="28"/>
          <w:szCs w:val="28"/>
        </w:rPr>
        <w:t xml:space="preserve"> Чинник даного корупційного ризику:</w:t>
      </w:r>
      <w:r w:rsidR="00EE1C22" w:rsidRPr="00FC260B">
        <w:rPr>
          <w:rFonts w:ascii="Times New Roman" w:hAnsi="Times New Roman" w:cs="Times New Roman"/>
          <w:sz w:val="28"/>
          <w:szCs w:val="28"/>
        </w:rPr>
        <w:t xml:space="preserve"> дискреційні повноваження депутатів обласної ради при прийнятті рішення про надання одноразової грошової допомоги. Можлива вибірковість та упередженість при відборі заяв на отримання допомоги.</w:t>
      </w:r>
    </w:p>
    <w:p w:rsidR="008E248E" w:rsidRPr="00FC260B" w:rsidRDefault="00BA4C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13</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Ризик виникнення потенційного чи реального конфлікту інтересів в обласній раді, в діяльності керівників комунальних підприємств, установ та організацій, безпосереднє управління якими здійснює обласна рада, депутатів обласної ради.</w:t>
      </w:r>
      <w:r w:rsidR="00B01CFD" w:rsidRPr="00FC260B">
        <w:rPr>
          <w:rFonts w:ascii="Times New Roman" w:hAnsi="Times New Roman" w:cs="Times New Roman"/>
          <w:sz w:val="28"/>
          <w:szCs w:val="28"/>
        </w:rPr>
        <w:t xml:space="preserve"> Чинник даного корупційного ризику:</w:t>
      </w:r>
      <w:r w:rsidR="00AC4104" w:rsidRPr="00FC260B">
        <w:rPr>
          <w:rFonts w:ascii="Times New Roman" w:hAnsi="Times New Roman" w:cs="Times New Roman"/>
          <w:sz w:val="28"/>
          <w:szCs w:val="28"/>
        </w:rPr>
        <w:t xml:space="preserve"> відсутність або недостатність контролю за дотриманням законодавства щодо конфлікту інтересів безпосередньо в обласній раді та керівниками комунальних підприємств. Власна матеріальна чи не матеріальна зацікавленість, не знання норм антикорупційного законодавства.</w:t>
      </w:r>
    </w:p>
    <w:p w:rsidR="008E248E" w:rsidRPr="00FC260B" w:rsidRDefault="004E07A3"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 xml:space="preserve"> </w:t>
      </w:r>
      <w:r w:rsidR="00BA4C62" w:rsidRPr="00FC260B">
        <w:rPr>
          <w:rFonts w:ascii="Times New Roman" w:hAnsi="Times New Roman" w:cs="Times New Roman"/>
          <w:sz w:val="28"/>
          <w:szCs w:val="28"/>
        </w:rPr>
        <w:t>14</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Відсутність контролю за проведенням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w:t>
      </w:r>
      <w:r w:rsidR="00B01CFD" w:rsidRPr="00FC260B">
        <w:rPr>
          <w:rFonts w:ascii="Times New Roman" w:hAnsi="Times New Roman" w:cs="Times New Roman"/>
          <w:sz w:val="28"/>
          <w:szCs w:val="28"/>
        </w:rPr>
        <w:t xml:space="preserve"> Чинник даного корупційного ризику:</w:t>
      </w:r>
      <w:r w:rsidR="00AC4104" w:rsidRPr="00FC260B">
        <w:rPr>
          <w:rFonts w:ascii="Times New Roman" w:hAnsi="Times New Roman" w:cs="Times New Roman"/>
          <w:sz w:val="28"/>
          <w:szCs w:val="28"/>
        </w:rPr>
        <w:t xml:space="preserve"> приватний інтерес посадових осіб обласної ради, щодо надання переваг певним претендентам на зайняття посад у органі влади.</w:t>
      </w:r>
    </w:p>
    <w:p w:rsidR="008E248E" w:rsidRPr="00FC260B" w:rsidRDefault="00BA4C62" w:rsidP="00A31D51">
      <w:pPr>
        <w:pStyle w:val="a3"/>
        <w:spacing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15</w:t>
      </w:r>
      <w:r w:rsidR="00DC5562" w:rsidRPr="00FC260B">
        <w:rPr>
          <w:rFonts w:ascii="Times New Roman" w:hAnsi="Times New Roman" w:cs="Times New Roman"/>
          <w:sz w:val="28"/>
          <w:szCs w:val="28"/>
        </w:rPr>
        <w:t xml:space="preserve">. </w:t>
      </w:r>
      <w:proofErr w:type="spellStart"/>
      <w:r w:rsidR="008E248E" w:rsidRPr="00FC260B">
        <w:rPr>
          <w:rFonts w:ascii="Times New Roman" w:hAnsi="Times New Roman" w:cs="Times New Roman"/>
          <w:sz w:val="28"/>
          <w:szCs w:val="28"/>
        </w:rPr>
        <w:t>Недоброчесність</w:t>
      </w:r>
      <w:proofErr w:type="spellEnd"/>
      <w:r w:rsidR="008E248E" w:rsidRPr="00FC260B">
        <w:rPr>
          <w:rFonts w:ascii="Times New Roman" w:hAnsi="Times New Roman" w:cs="Times New Roman"/>
          <w:sz w:val="28"/>
          <w:szCs w:val="28"/>
        </w:rPr>
        <w:t xml:space="preserve"> осіб уповноважених на виконання функцій місцевого самоврядування які займають відповідальне або особливо відповідальне становище стосовно вимог дотримання антикорупційного законодавства.</w:t>
      </w:r>
      <w:r w:rsidR="00B01CFD" w:rsidRPr="00FC260B">
        <w:rPr>
          <w:rFonts w:ascii="Times New Roman" w:hAnsi="Times New Roman" w:cs="Times New Roman"/>
          <w:sz w:val="28"/>
          <w:szCs w:val="28"/>
        </w:rPr>
        <w:t xml:space="preserve"> Чинник даного корупційного ризику:</w:t>
      </w:r>
      <w:r w:rsidR="00903FF1" w:rsidRPr="00FC260B">
        <w:rPr>
          <w:rFonts w:ascii="Times New Roman" w:hAnsi="Times New Roman" w:cs="Times New Roman"/>
          <w:sz w:val="28"/>
          <w:szCs w:val="28"/>
        </w:rPr>
        <w:t xml:space="preserve"> умисне приховування інформації, волевиявлення самої особи, незнання антикорупційного законодавства.</w:t>
      </w:r>
    </w:p>
    <w:p w:rsidR="008E248E" w:rsidRPr="00FC260B" w:rsidRDefault="00BA4C62" w:rsidP="00A31D51">
      <w:pPr>
        <w:pStyle w:val="a3"/>
        <w:spacing w:after="0" w:line="240" w:lineRule="auto"/>
        <w:ind w:left="142"/>
        <w:jc w:val="both"/>
        <w:rPr>
          <w:rFonts w:ascii="Times New Roman" w:hAnsi="Times New Roman" w:cs="Times New Roman"/>
          <w:sz w:val="28"/>
          <w:szCs w:val="28"/>
        </w:rPr>
      </w:pPr>
      <w:r w:rsidRPr="00FC260B">
        <w:rPr>
          <w:rFonts w:ascii="Times New Roman" w:hAnsi="Times New Roman" w:cs="Times New Roman"/>
          <w:sz w:val="28"/>
          <w:szCs w:val="28"/>
        </w:rPr>
        <w:t>16</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 xml:space="preserve">Зацікавленість, або вплив з боку посадових осіб чи інших осіб при підготовці проектів розпоряджень, голови обласної ради, проектів договорів, які укладаються обласною радою та проектів рішень, що вносяться на розгляд пленарних засідань обласної ради. Можливість ухвалення рішень про оренду комунального майна за одну гривню </w:t>
      </w:r>
      <w:r w:rsidR="008E248E" w:rsidRPr="00FC260B">
        <w:rPr>
          <w:rFonts w:ascii="Times New Roman" w:hAnsi="Times New Roman" w:cs="Times New Roman"/>
          <w:sz w:val="28"/>
          <w:szCs w:val="28"/>
        </w:rPr>
        <w:lastRenderedPageBreak/>
        <w:t>суб’єктами які не мають на це права.</w:t>
      </w:r>
      <w:r w:rsidR="00B01CFD" w:rsidRPr="00FC260B">
        <w:rPr>
          <w:rFonts w:ascii="Times New Roman" w:hAnsi="Times New Roman" w:cs="Times New Roman"/>
          <w:sz w:val="28"/>
          <w:szCs w:val="28"/>
        </w:rPr>
        <w:t xml:space="preserve"> Чинник даного корупційного ризику:</w:t>
      </w:r>
      <w:r w:rsidR="00903FF1" w:rsidRPr="00FC260B">
        <w:rPr>
          <w:rFonts w:ascii="Times New Roman" w:hAnsi="Times New Roman" w:cs="Times New Roman"/>
          <w:sz w:val="28"/>
          <w:szCs w:val="28"/>
        </w:rPr>
        <w:t xml:space="preserve"> неправильне застосування норм чинного законодавства, можлива наявність конфлікту інтересів, персональна зацікавленість при підготовці розпоряджень обласної ради, проектів рішень, що виносяться на розгляд пленарних засідань обласної ради в інтересах певних осіб або установ чи організацій.</w:t>
      </w:r>
    </w:p>
    <w:p w:rsidR="00DC5562" w:rsidRPr="00FC260B" w:rsidRDefault="00DC55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 xml:space="preserve"> </w:t>
      </w:r>
      <w:r w:rsidR="00BA4C62" w:rsidRPr="00FC260B">
        <w:rPr>
          <w:rFonts w:ascii="Times New Roman" w:hAnsi="Times New Roman" w:cs="Times New Roman"/>
          <w:sz w:val="28"/>
          <w:szCs w:val="28"/>
        </w:rPr>
        <w:t>17</w:t>
      </w:r>
      <w:r w:rsidRPr="00FC260B">
        <w:rPr>
          <w:rFonts w:ascii="Times New Roman" w:hAnsi="Times New Roman" w:cs="Times New Roman"/>
          <w:sz w:val="28"/>
          <w:szCs w:val="28"/>
        </w:rPr>
        <w:t xml:space="preserve">. </w:t>
      </w:r>
      <w:r w:rsidR="00A46A5A" w:rsidRPr="00FC260B">
        <w:rPr>
          <w:rFonts w:ascii="Times New Roman" w:hAnsi="Times New Roman" w:cs="Times New Roman"/>
          <w:sz w:val="28"/>
          <w:szCs w:val="28"/>
        </w:rPr>
        <w:t xml:space="preserve">Можливість ухвалення рішень про оренду комунального майна за одну </w:t>
      </w:r>
      <w:r w:rsidRPr="00FC260B">
        <w:rPr>
          <w:rFonts w:ascii="Times New Roman" w:hAnsi="Times New Roman" w:cs="Times New Roman"/>
          <w:sz w:val="28"/>
          <w:szCs w:val="28"/>
        </w:rPr>
        <w:t xml:space="preserve">  </w:t>
      </w:r>
      <w:r w:rsidR="00A46A5A" w:rsidRPr="00FC260B">
        <w:rPr>
          <w:rFonts w:ascii="Times New Roman" w:hAnsi="Times New Roman" w:cs="Times New Roman"/>
          <w:sz w:val="28"/>
          <w:szCs w:val="28"/>
        </w:rPr>
        <w:t>гривню суб’єктами які не мають на це права.</w:t>
      </w:r>
      <w:r w:rsidR="00B01CFD" w:rsidRPr="00FC260B">
        <w:rPr>
          <w:rFonts w:ascii="Times New Roman" w:hAnsi="Times New Roman" w:cs="Times New Roman"/>
          <w:sz w:val="28"/>
          <w:szCs w:val="28"/>
        </w:rPr>
        <w:t xml:space="preserve"> </w:t>
      </w:r>
      <w:proofErr w:type="spellStart"/>
      <w:r w:rsidR="00A46A5A" w:rsidRPr="00FC260B">
        <w:rPr>
          <w:rFonts w:ascii="Times New Roman" w:hAnsi="Times New Roman" w:cs="Times New Roman"/>
          <w:sz w:val="28"/>
          <w:szCs w:val="28"/>
        </w:rPr>
        <w:t>Недоброчесність</w:t>
      </w:r>
      <w:proofErr w:type="spellEnd"/>
      <w:r w:rsidR="00A46A5A" w:rsidRPr="00FC260B">
        <w:rPr>
          <w:rFonts w:ascii="Times New Roman" w:hAnsi="Times New Roman" w:cs="Times New Roman"/>
          <w:sz w:val="28"/>
          <w:szCs w:val="28"/>
        </w:rPr>
        <w:t xml:space="preserve">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 організацій, підприємств які фактично є комерційними та не мають права на такі умови оренди.</w:t>
      </w:r>
      <w:r w:rsidR="00B01CFD" w:rsidRPr="00FC260B">
        <w:rPr>
          <w:rFonts w:ascii="Times New Roman" w:hAnsi="Times New Roman" w:cs="Times New Roman"/>
          <w:sz w:val="28"/>
          <w:szCs w:val="28"/>
        </w:rPr>
        <w:t xml:space="preserve"> Чинник даного корупційного ризику:</w:t>
      </w:r>
      <w:r w:rsidR="00903FF1" w:rsidRPr="00FC260B">
        <w:rPr>
          <w:rFonts w:ascii="Times New Roman" w:hAnsi="Times New Roman" w:cs="Times New Roman"/>
          <w:sz w:val="28"/>
          <w:szCs w:val="28"/>
        </w:rPr>
        <w:t xml:space="preserve"> Вплив з боку певних посадових осіб, представників депутатського корпусу, приватний інтерес посадової особи управління майном обласної ради.</w:t>
      </w:r>
    </w:p>
    <w:p w:rsidR="00A46A5A" w:rsidRPr="00FC260B" w:rsidRDefault="004E07A3"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 xml:space="preserve"> </w:t>
      </w:r>
      <w:r w:rsidR="00BA4C62" w:rsidRPr="00FC260B">
        <w:rPr>
          <w:rFonts w:ascii="Times New Roman" w:hAnsi="Times New Roman" w:cs="Times New Roman"/>
          <w:sz w:val="28"/>
          <w:szCs w:val="28"/>
        </w:rPr>
        <w:t>18</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 xml:space="preserve"> Не вжиття заходів щодо перегляду (аудиту) діяльності функціонування комунальних підприємств, розроблення ключових показників їх ефективності.</w:t>
      </w:r>
      <w:r w:rsidR="007262C2" w:rsidRPr="00FC260B">
        <w:rPr>
          <w:rFonts w:ascii="Times New Roman" w:hAnsi="Times New Roman" w:cs="Times New Roman"/>
          <w:sz w:val="28"/>
          <w:szCs w:val="28"/>
        </w:rPr>
        <w:t xml:space="preserve"> </w:t>
      </w:r>
      <w:proofErr w:type="spellStart"/>
      <w:r w:rsidR="008E248E" w:rsidRPr="00FC260B">
        <w:rPr>
          <w:rFonts w:ascii="Times New Roman" w:hAnsi="Times New Roman" w:cs="Times New Roman"/>
          <w:sz w:val="28"/>
          <w:szCs w:val="28"/>
        </w:rPr>
        <w:t>Недоброчесність</w:t>
      </w:r>
      <w:proofErr w:type="spellEnd"/>
      <w:r w:rsidR="008E248E" w:rsidRPr="00FC260B">
        <w:rPr>
          <w:rFonts w:ascii="Times New Roman" w:hAnsi="Times New Roman" w:cs="Times New Roman"/>
          <w:sz w:val="28"/>
          <w:szCs w:val="28"/>
        </w:rPr>
        <w:t xml:space="preserve"> посадової особи управління комунального майна обласної ради яка зловживає службовим становищем та не вживає заходи ініціювання перегляду функціонування неефективних комунальних підприємств, умисно не бачить неефективну діяльність окремих комунальних підприємств.</w:t>
      </w:r>
      <w:r w:rsidR="00B01CFD" w:rsidRPr="00FC260B">
        <w:rPr>
          <w:rFonts w:ascii="Times New Roman" w:hAnsi="Times New Roman" w:cs="Times New Roman"/>
          <w:sz w:val="28"/>
          <w:szCs w:val="28"/>
        </w:rPr>
        <w:t xml:space="preserve"> Чинник даного корупційного ризику:</w:t>
      </w:r>
      <w:r w:rsidR="00903FF1" w:rsidRPr="00FC260B">
        <w:rPr>
          <w:rFonts w:ascii="Times New Roman" w:hAnsi="Times New Roman" w:cs="Times New Roman"/>
          <w:sz w:val="28"/>
          <w:szCs w:val="28"/>
        </w:rPr>
        <w:t xml:space="preserve"> вплив з боку певних посадових осіб, представників депутатського корпусу , приватний інтерес посадової особи управління комунального майна обласної ради.</w:t>
      </w:r>
    </w:p>
    <w:p w:rsidR="00EF467D" w:rsidRPr="00FC260B" w:rsidRDefault="00DB6432" w:rsidP="00A31D51">
      <w:pPr>
        <w:pStyle w:val="a3"/>
        <w:spacing w:after="0" w:line="240" w:lineRule="auto"/>
        <w:ind w:left="284"/>
        <w:jc w:val="both"/>
        <w:rPr>
          <w:rFonts w:ascii="Times New Roman" w:hAnsi="Times New Roman" w:cs="Times New Roman"/>
          <w:sz w:val="28"/>
          <w:szCs w:val="28"/>
        </w:rPr>
      </w:pPr>
      <w:r w:rsidRPr="00FC260B">
        <w:rPr>
          <w:rFonts w:ascii="Times New Roman" w:hAnsi="Times New Roman" w:cs="Times New Roman"/>
          <w:sz w:val="28"/>
          <w:szCs w:val="28"/>
        </w:rPr>
        <w:t xml:space="preserve">      </w:t>
      </w:r>
      <w:r w:rsidR="006F25AB" w:rsidRPr="00FC260B">
        <w:rPr>
          <w:rFonts w:ascii="Times New Roman" w:hAnsi="Times New Roman" w:cs="Times New Roman"/>
          <w:sz w:val="28"/>
          <w:szCs w:val="28"/>
        </w:rPr>
        <w:t>На виконання вимог</w:t>
      </w:r>
      <w:r w:rsidR="00EF467D" w:rsidRPr="00FC260B">
        <w:rPr>
          <w:rFonts w:ascii="Times New Roman" w:hAnsi="Times New Roman" w:cs="Times New Roman"/>
          <w:sz w:val="28"/>
          <w:szCs w:val="28"/>
        </w:rPr>
        <w:t xml:space="preserve"> Методології оцінювання корупційних ризиків у діяльності органів влади</w:t>
      </w:r>
      <w:r w:rsidR="000A51D6" w:rsidRPr="00FC260B">
        <w:rPr>
          <w:rFonts w:ascii="Times New Roman" w:hAnsi="Times New Roman" w:cs="Times New Roman"/>
          <w:sz w:val="28"/>
          <w:szCs w:val="28"/>
        </w:rPr>
        <w:t>,</w:t>
      </w:r>
      <w:r w:rsidR="006F25AB" w:rsidRPr="00FC260B">
        <w:rPr>
          <w:rFonts w:ascii="Times New Roman" w:hAnsi="Times New Roman" w:cs="Times New Roman"/>
          <w:sz w:val="28"/>
          <w:szCs w:val="28"/>
        </w:rPr>
        <w:t xml:space="preserve"> враховуючи</w:t>
      </w:r>
      <w:r w:rsidR="00EF467D" w:rsidRPr="00FC260B">
        <w:rPr>
          <w:rFonts w:ascii="Times New Roman" w:hAnsi="Times New Roman" w:cs="Times New Roman"/>
          <w:sz w:val="28"/>
          <w:szCs w:val="28"/>
        </w:rPr>
        <w:t xml:space="preserve"> результати оцінки корупційних ризиків у діяльності обласної ради, підготовлено опис ідентифікованих корупційних ризиків, чинників корупцій</w:t>
      </w:r>
      <w:r w:rsidRPr="00FC260B">
        <w:rPr>
          <w:rFonts w:ascii="Times New Roman" w:hAnsi="Times New Roman" w:cs="Times New Roman"/>
          <w:sz w:val="28"/>
          <w:szCs w:val="28"/>
        </w:rPr>
        <w:t>них ризиків та можливі наслідки</w:t>
      </w:r>
      <w:r w:rsidR="00E049F5" w:rsidRPr="00FC260B">
        <w:rPr>
          <w:rFonts w:ascii="Times New Roman" w:hAnsi="Times New Roman" w:cs="Times New Roman"/>
          <w:sz w:val="28"/>
          <w:szCs w:val="28"/>
        </w:rPr>
        <w:t xml:space="preserve"> </w:t>
      </w:r>
      <w:r w:rsidR="00EF467D" w:rsidRPr="00FC260B">
        <w:rPr>
          <w:rFonts w:ascii="Times New Roman" w:hAnsi="Times New Roman" w:cs="Times New Roman"/>
          <w:sz w:val="28"/>
          <w:szCs w:val="28"/>
        </w:rPr>
        <w:t>корупційного правопорушення чи правопорушення, пов’язаного з корупцією (додаток 1 до звіту),</w:t>
      </w:r>
      <w:r w:rsidR="000A51D6" w:rsidRPr="00FC260B">
        <w:rPr>
          <w:rFonts w:ascii="Times New Roman" w:hAnsi="Times New Roman" w:cs="Times New Roman"/>
          <w:sz w:val="28"/>
          <w:szCs w:val="28"/>
        </w:rPr>
        <w:t xml:space="preserve"> а також</w:t>
      </w:r>
      <w:r w:rsidR="00EF467D" w:rsidRPr="00FC260B">
        <w:rPr>
          <w:rFonts w:ascii="Times New Roman" w:hAnsi="Times New Roman" w:cs="Times New Roman"/>
          <w:sz w:val="28"/>
          <w:szCs w:val="28"/>
        </w:rPr>
        <w:t xml:space="preserve"> пропозиції щодо заходів з усунення корупційних ризиків та очікувані результати ( додаток 2 до звіту).</w:t>
      </w:r>
    </w:p>
    <w:p w:rsidR="00740D6E" w:rsidRPr="00FC260B" w:rsidRDefault="00740D6E" w:rsidP="007E2C81">
      <w:pPr>
        <w:tabs>
          <w:tab w:val="left" w:pos="0"/>
        </w:tabs>
        <w:spacing w:after="0" w:line="240" w:lineRule="auto"/>
        <w:jc w:val="both"/>
        <w:rPr>
          <w:rFonts w:ascii="Times New Roman" w:hAnsi="Times New Roman" w:cs="Times New Roman"/>
          <w:sz w:val="28"/>
          <w:szCs w:val="28"/>
        </w:rPr>
      </w:pPr>
    </w:p>
    <w:p w:rsidR="009F425F" w:rsidRPr="00FC260B" w:rsidRDefault="00BC6F01" w:rsidP="00BC6F01">
      <w:pPr>
        <w:tabs>
          <w:tab w:val="left" w:pos="0"/>
        </w:tabs>
        <w:spacing w:after="0" w:line="0" w:lineRule="atLeast"/>
        <w:rPr>
          <w:rFonts w:ascii="Times New Roman" w:hAnsi="Times New Roman" w:cs="Times New Roman"/>
          <w:sz w:val="28"/>
          <w:szCs w:val="28"/>
        </w:rPr>
      </w:pPr>
      <w:r w:rsidRPr="00FC260B">
        <w:rPr>
          <w:rFonts w:ascii="Times New Roman" w:hAnsi="Times New Roman" w:cs="Times New Roman"/>
          <w:sz w:val="28"/>
          <w:szCs w:val="28"/>
        </w:rPr>
        <w:t>Перший</w:t>
      </w:r>
      <w:r w:rsidR="007E2C81" w:rsidRPr="00FC260B">
        <w:rPr>
          <w:rFonts w:ascii="Times New Roman" w:hAnsi="Times New Roman" w:cs="Times New Roman"/>
          <w:sz w:val="28"/>
          <w:szCs w:val="28"/>
        </w:rPr>
        <w:t xml:space="preserve"> заступник</w:t>
      </w:r>
    </w:p>
    <w:p w:rsidR="005B2C1E" w:rsidRDefault="007E2C81" w:rsidP="00C24072">
      <w:pPr>
        <w:tabs>
          <w:tab w:val="left" w:pos="0"/>
        </w:tabs>
        <w:spacing w:after="0" w:line="0" w:lineRule="atLeast"/>
        <w:rPr>
          <w:rFonts w:ascii="Times New Roman" w:hAnsi="Times New Roman" w:cs="Times New Roman"/>
          <w:sz w:val="28"/>
          <w:szCs w:val="28"/>
        </w:rPr>
      </w:pPr>
      <w:r w:rsidRPr="00FC260B">
        <w:rPr>
          <w:rFonts w:ascii="Times New Roman" w:hAnsi="Times New Roman" w:cs="Times New Roman"/>
          <w:sz w:val="28"/>
          <w:szCs w:val="28"/>
        </w:rPr>
        <w:t xml:space="preserve">голови обласної ради                          </w:t>
      </w:r>
      <w:r w:rsidR="009F425F" w:rsidRPr="00FC260B">
        <w:rPr>
          <w:rFonts w:ascii="Times New Roman" w:hAnsi="Times New Roman" w:cs="Times New Roman"/>
          <w:sz w:val="28"/>
          <w:szCs w:val="28"/>
        </w:rPr>
        <w:t xml:space="preserve">                                </w:t>
      </w:r>
      <w:r w:rsidR="00C25244" w:rsidRPr="00FC260B">
        <w:rPr>
          <w:rFonts w:ascii="Times New Roman" w:hAnsi="Times New Roman" w:cs="Times New Roman"/>
          <w:sz w:val="28"/>
          <w:szCs w:val="28"/>
        </w:rPr>
        <w:t xml:space="preserve">    </w:t>
      </w:r>
      <w:r w:rsidR="00C33180" w:rsidRPr="00FC260B">
        <w:rPr>
          <w:rFonts w:ascii="Times New Roman" w:hAnsi="Times New Roman" w:cs="Times New Roman"/>
          <w:sz w:val="28"/>
          <w:szCs w:val="28"/>
        </w:rPr>
        <w:t xml:space="preserve">      </w:t>
      </w:r>
      <w:r w:rsidR="00C33180" w:rsidRPr="008E746F">
        <w:rPr>
          <w:rFonts w:ascii="Times New Roman" w:hAnsi="Times New Roman" w:cs="Times New Roman"/>
          <w:sz w:val="28"/>
          <w:szCs w:val="28"/>
        </w:rPr>
        <w:t xml:space="preserve">  </w:t>
      </w:r>
      <w:r w:rsidR="00083509">
        <w:rPr>
          <w:rFonts w:ascii="Times New Roman" w:hAnsi="Times New Roman" w:cs="Times New Roman"/>
          <w:sz w:val="28"/>
          <w:szCs w:val="28"/>
        </w:rPr>
        <w:t>О.М. Дзюбенко</w:t>
      </w:r>
    </w:p>
    <w:p w:rsidR="00E1570B" w:rsidRDefault="00E1570B" w:rsidP="00C24072">
      <w:pPr>
        <w:tabs>
          <w:tab w:val="left" w:pos="0"/>
        </w:tabs>
        <w:spacing w:after="0" w:line="0" w:lineRule="atLeast"/>
        <w:rPr>
          <w:rFonts w:ascii="Times New Roman" w:hAnsi="Times New Roman" w:cs="Times New Roman"/>
          <w:sz w:val="28"/>
          <w:szCs w:val="28"/>
        </w:rPr>
      </w:pPr>
    </w:p>
    <w:p w:rsidR="00E1570B" w:rsidRDefault="00E1570B" w:rsidP="00C24072">
      <w:pPr>
        <w:tabs>
          <w:tab w:val="left" w:pos="0"/>
        </w:tabs>
        <w:spacing w:after="0" w:line="0" w:lineRule="atLeast"/>
        <w:rPr>
          <w:rFonts w:ascii="Times New Roman" w:hAnsi="Times New Roman" w:cs="Times New Roman"/>
          <w:sz w:val="28"/>
          <w:szCs w:val="28"/>
        </w:rPr>
      </w:pPr>
    </w:p>
    <w:p w:rsidR="00E1570B" w:rsidRDefault="00E1570B" w:rsidP="00C24072">
      <w:pPr>
        <w:tabs>
          <w:tab w:val="left" w:pos="0"/>
        </w:tabs>
        <w:spacing w:after="0" w:line="0" w:lineRule="atLeast"/>
        <w:rPr>
          <w:rFonts w:ascii="Times New Roman" w:hAnsi="Times New Roman" w:cs="Times New Roman"/>
          <w:sz w:val="28"/>
          <w:szCs w:val="28"/>
        </w:rPr>
      </w:pPr>
      <w:r>
        <w:rPr>
          <w:rFonts w:ascii="Times New Roman" w:hAnsi="Times New Roman" w:cs="Times New Roman"/>
          <w:sz w:val="28"/>
          <w:szCs w:val="28"/>
        </w:rPr>
        <w:t>Уповноважена особа</w:t>
      </w:r>
    </w:p>
    <w:p w:rsidR="00E1570B" w:rsidRDefault="00E1570B" w:rsidP="00C24072">
      <w:pPr>
        <w:tabs>
          <w:tab w:val="left" w:pos="0"/>
        </w:tabs>
        <w:spacing w:after="0" w:line="0" w:lineRule="atLeast"/>
        <w:rPr>
          <w:rFonts w:ascii="Times New Roman" w:hAnsi="Times New Roman" w:cs="Times New Roman"/>
          <w:sz w:val="28"/>
          <w:szCs w:val="28"/>
        </w:rPr>
      </w:pPr>
      <w:r>
        <w:rPr>
          <w:rFonts w:ascii="Times New Roman" w:hAnsi="Times New Roman" w:cs="Times New Roman"/>
          <w:sz w:val="28"/>
          <w:szCs w:val="28"/>
        </w:rPr>
        <w:t>з питань запобігання та виявлення корупції</w:t>
      </w:r>
    </w:p>
    <w:p w:rsidR="00E1570B" w:rsidRPr="008E746F" w:rsidRDefault="00E1570B" w:rsidP="00C24072">
      <w:pPr>
        <w:tabs>
          <w:tab w:val="left" w:pos="0"/>
        </w:tabs>
        <w:spacing w:after="0" w:line="0" w:lineRule="atLeast"/>
        <w:rPr>
          <w:rFonts w:ascii="Times New Roman" w:hAnsi="Times New Roman" w:cs="Times New Roman"/>
          <w:sz w:val="28"/>
          <w:szCs w:val="28"/>
        </w:rPr>
      </w:pPr>
      <w:r>
        <w:rPr>
          <w:rFonts w:ascii="Times New Roman" w:hAnsi="Times New Roman" w:cs="Times New Roman"/>
          <w:sz w:val="28"/>
          <w:szCs w:val="28"/>
        </w:rPr>
        <w:t xml:space="preserve">у виконавчому апараті обласної ради                                          </w:t>
      </w:r>
      <w:bookmarkStart w:id="0" w:name="_GoBack"/>
      <w:bookmarkEnd w:id="0"/>
      <w:r>
        <w:rPr>
          <w:rFonts w:ascii="Times New Roman" w:hAnsi="Times New Roman" w:cs="Times New Roman"/>
          <w:sz w:val="28"/>
          <w:szCs w:val="28"/>
        </w:rPr>
        <w:t xml:space="preserve">  О.Г. </w:t>
      </w:r>
      <w:proofErr w:type="spellStart"/>
      <w:r>
        <w:rPr>
          <w:rFonts w:ascii="Times New Roman" w:hAnsi="Times New Roman" w:cs="Times New Roman"/>
          <w:sz w:val="28"/>
          <w:szCs w:val="28"/>
        </w:rPr>
        <w:t>Сташенко</w:t>
      </w:r>
      <w:proofErr w:type="spellEnd"/>
    </w:p>
    <w:sectPr w:rsidR="00E1570B" w:rsidRPr="008E746F" w:rsidSect="008373A0">
      <w:headerReference w:type="even" r:id="rId8"/>
      <w:headerReference w:type="default" r:id="rId9"/>
      <w:footerReference w:type="even" r:id="rId10"/>
      <w:footerReference w:type="default" r:id="rId11"/>
      <w:headerReference w:type="first" r:id="rId12"/>
      <w:footerReference w:type="first" r:id="rId13"/>
      <w:pgSz w:w="11906" w:h="16838"/>
      <w:pgMar w:top="850" w:right="707" w:bottom="850"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610" w:rsidRDefault="00101610" w:rsidP="00E047EC">
      <w:pPr>
        <w:spacing w:after="0" w:line="240" w:lineRule="auto"/>
      </w:pPr>
      <w:r>
        <w:separator/>
      </w:r>
    </w:p>
  </w:endnote>
  <w:endnote w:type="continuationSeparator" w:id="0">
    <w:p w:rsidR="00101610" w:rsidRDefault="00101610" w:rsidP="00E04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610" w:rsidRDefault="00101610" w:rsidP="00E047EC">
      <w:pPr>
        <w:spacing w:after="0" w:line="240" w:lineRule="auto"/>
      </w:pPr>
      <w:r>
        <w:separator/>
      </w:r>
    </w:p>
  </w:footnote>
  <w:footnote w:type="continuationSeparator" w:id="0">
    <w:p w:rsidR="00101610" w:rsidRDefault="00101610" w:rsidP="00E047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A0" w:rsidRDefault="008373A0" w:rsidP="008373A0">
    <w:pPr>
      <w:pStyle w:val="a4"/>
      <w:jc w:val="center"/>
    </w:pPr>
    <w: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A2E71"/>
    <w:multiLevelType w:val="hybridMultilevel"/>
    <w:tmpl w:val="87903702"/>
    <w:lvl w:ilvl="0" w:tplc="37C4D85A">
      <w:start w:val="1"/>
      <w:numFmt w:val="decimal"/>
      <w:lvlText w:val="%1)"/>
      <w:lvlJc w:val="left"/>
      <w:pPr>
        <w:ind w:left="-142" w:firstLine="28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19E1AFF"/>
    <w:multiLevelType w:val="hybridMultilevel"/>
    <w:tmpl w:val="87903702"/>
    <w:lvl w:ilvl="0" w:tplc="37C4D85A">
      <w:start w:val="1"/>
      <w:numFmt w:val="decimal"/>
      <w:lvlText w:val="%1)"/>
      <w:lvlJc w:val="left"/>
      <w:pPr>
        <w:ind w:left="-142" w:firstLine="28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D0B"/>
    <w:rsid w:val="00065763"/>
    <w:rsid w:val="00083509"/>
    <w:rsid w:val="000A51D6"/>
    <w:rsid w:val="000D5143"/>
    <w:rsid w:val="00101610"/>
    <w:rsid w:val="00194739"/>
    <w:rsid w:val="001B16B7"/>
    <w:rsid w:val="001B35F3"/>
    <w:rsid w:val="001D79C4"/>
    <w:rsid w:val="00206560"/>
    <w:rsid w:val="00251F2F"/>
    <w:rsid w:val="00257245"/>
    <w:rsid w:val="002719B8"/>
    <w:rsid w:val="002D28AD"/>
    <w:rsid w:val="00325154"/>
    <w:rsid w:val="00416A92"/>
    <w:rsid w:val="0042568F"/>
    <w:rsid w:val="004365DF"/>
    <w:rsid w:val="004D7A8A"/>
    <w:rsid w:val="004E07A3"/>
    <w:rsid w:val="004E7D0B"/>
    <w:rsid w:val="00506F6C"/>
    <w:rsid w:val="00535F70"/>
    <w:rsid w:val="005511C7"/>
    <w:rsid w:val="005B2C1E"/>
    <w:rsid w:val="005B7750"/>
    <w:rsid w:val="006B568B"/>
    <w:rsid w:val="006C0235"/>
    <w:rsid w:val="006D44FE"/>
    <w:rsid w:val="006F25AB"/>
    <w:rsid w:val="0070328A"/>
    <w:rsid w:val="007262C2"/>
    <w:rsid w:val="00740D6E"/>
    <w:rsid w:val="00786258"/>
    <w:rsid w:val="007C71CC"/>
    <w:rsid w:val="007E2C81"/>
    <w:rsid w:val="007F11BC"/>
    <w:rsid w:val="008373A0"/>
    <w:rsid w:val="008656BD"/>
    <w:rsid w:val="008B1152"/>
    <w:rsid w:val="008D024F"/>
    <w:rsid w:val="008E248E"/>
    <w:rsid w:val="008E746F"/>
    <w:rsid w:val="00903FF1"/>
    <w:rsid w:val="00924050"/>
    <w:rsid w:val="009F425F"/>
    <w:rsid w:val="00A31D51"/>
    <w:rsid w:val="00A46A5A"/>
    <w:rsid w:val="00A55EE7"/>
    <w:rsid w:val="00A6507E"/>
    <w:rsid w:val="00A8244E"/>
    <w:rsid w:val="00AB5421"/>
    <w:rsid w:val="00AC4104"/>
    <w:rsid w:val="00B00B4F"/>
    <w:rsid w:val="00B01CFD"/>
    <w:rsid w:val="00B3038C"/>
    <w:rsid w:val="00B359F1"/>
    <w:rsid w:val="00B4133A"/>
    <w:rsid w:val="00BA4C62"/>
    <w:rsid w:val="00BC6F01"/>
    <w:rsid w:val="00BE615D"/>
    <w:rsid w:val="00C24072"/>
    <w:rsid w:val="00C25244"/>
    <w:rsid w:val="00C33180"/>
    <w:rsid w:val="00C415C4"/>
    <w:rsid w:val="00C422C7"/>
    <w:rsid w:val="00C94E4B"/>
    <w:rsid w:val="00C95AB6"/>
    <w:rsid w:val="00CE3F5A"/>
    <w:rsid w:val="00CF3443"/>
    <w:rsid w:val="00D1538C"/>
    <w:rsid w:val="00D32405"/>
    <w:rsid w:val="00DB6432"/>
    <w:rsid w:val="00DC5562"/>
    <w:rsid w:val="00E047EC"/>
    <w:rsid w:val="00E049F5"/>
    <w:rsid w:val="00E12C95"/>
    <w:rsid w:val="00E1570B"/>
    <w:rsid w:val="00E37FDF"/>
    <w:rsid w:val="00E60007"/>
    <w:rsid w:val="00E72179"/>
    <w:rsid w:val="00EE1C22"/>
    <w:rsid w:val="00EE276E"/>
    <w:rsid w:val="00EE5869"/>
    <w:rsid w:val="00EF467D"/>
    <w:rsid w:val="00F60748"/>
    <w:rsid w:val="00FC26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6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67D"/>
    <w:pPr>
      <w:ind w:left="720"/>
      <w:contextualSpacing/>
    </w:pPr>
  </w:style>
  <w:style w:type="paragraph" w:styleId="a4">
    <w:name w:val="header"/>
    <w:basedOn w:val="a"/>
    <w:link w:val="a5"/>
    <w:uiPriority w:val="99"/>
    <w:unhideWhenUsed/>
    <w:rsid w:val="00E047E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047EC"/>
  </w:style>
  <w:style w:type="paragraph" w:styleId="a6">
    <w:name w:val="footer"/>
    <w:basedOn w:val="a"/>
    <w:link w:val="a7"/>
    <w:uiPriority w:val="99"/>
    <w:unhideWhenUsed/>
    <w:rsid w:val="00E047E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047EC"/>
  </w:style>
  <w:style w:type="paragraph" w:styleId="a8">
    <w:name w:val="Balloon Text"/>
    <w:basedOn w:val="a"/>
    <w:link w:val="a9"/>
    <w:uiPriority w:val="99"/>
    <w:semiHidden/>
    <w:unhideWhenUsed/>
    <w:rsid w:val="009F42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425F"/>
    <w:rPr>
      <w:rFonts w:ascii="Tahoma" w:hAnsi="Tahoma" w:cs="Tahoma"/>
      <w:sz w:val="16"/>
      <w:szCs w:val="16"/>
    </w:rPr>
  </w:style>
  <w:style w:type="table" w:styleId="aa">
    <w:name w:val="Table Grid"/>
    <w:basedOn w:val="a1"/>
    <w:uiPriority w:val="59"/>
    <w:rsid w:val="008E248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6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67D"/>
    <w:pPr>
      <w:ind w:left="720"/>
      <w:contextualSpacing/>
    </w:pPr>
  </w:style>
  <w:style w:type="paragraph" w:styleId="a4">
    <w:name w:val="header"/>
    <w:basedOn w:val="a"/>
    <w:link w:val="a5"/>
    <w:uiPriority w:val="99"/>
    <w:unhideWhenUsed/>
    <w:rsid w:val="00E047E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047EC"/>
  </w:style>
  <w:style w:type="paragraph" w:styleId="a6">
    <w:name w:val="footer"/>
    <w:basedOn w:val="a"/>
    <w:link w:val="a7"/>
    <w:uiPriority w:val="99"/>
    <w:unhideWhenUsed/>
    <w:rsid w:val="00E047E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047EC"/>
  </w:style>
  <w:style w:type="paragraph" w:styleId="a8">
    <w:name w:val="Balloon Text"/>
    <w:basedOn w:val="a"/>
    <w:link w:val="a9"/>
    <w:uiPriority w:val="99"/>
    <w:semiHidden/>
    <w:unhideWhenUsed/>
    <w:rsid w:val="009F42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425F"/>
    <w:rPr>
      <w:rFonts w:ascii="Tahoma" w:hAnsi="Tahoma" w:cs="Tahoma"/>
      <w:sz w:val="16"/>
      <w:szCs w:val="16"/>
    </w:rPr>
  </w:style>
  <w:style w:type="table" w:styleId="aa">
    <w:name w:val="Table Grid"/>
    <w:basedOn w:val="a1"/>
    <w:uiPriority w:val="59"/>
    <w:rsid w:val="008E248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6588</Words>
  <Characters>3756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Олександр Сташенко</cp:lastModifiedBy>
  <cp:revision>47</cp:revision>
  <cp:lastPrinted>2019-05-22T08:13:00Z</cp:lastPrinted>
  <dcterms:created xsi:type="dcterms:W3CDTF">2018-11-13T14:06:00Z</dcterms:created>
  <dcterms:modified xsi:type="dcterms:W3CDTF">2021-07-16T09:08:00Z</dcterms:modified>
</cp:coreProperties>
</file>