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0871" w14:textId="77777777" w:rsidR="009F3B91" w:rsidRPr="00AB345A" w:rsidRDefault="009F3B91" w:rsidP="009C3CC8">
      <w:pPr>
        <w:ind w:left="6237"/>
        <w:rPr>
          <w:sz w:val="28"/>
          <w:szCs w:val="28"/>
          <w:lang w:val="uk-UA"/>
        </w:rPr>
      </w:pPr>
      <w:r w:rsidRPr="00AB345A">
        <w:rPr>
          <w:sz w:val="28"/>
          <w:szCs w:val="28"/>
          <w:lang w:val="uk-UA"/>
        </w:rPr>
        <w:t xml:space="preserve">Додаток </w:t>
      </w:r>
    </w:p>
    <w:p w14:paraId="5976C844" w14:textId="77777777" w:rsidR="00894201" w:rsidRPr="00AB345A" w:rsidRDefault="009F3B91" w:rsidP="009C3CC8">
      <w:pPr>
        <w:ind w:left="6237"/>
        <w:rPr>
          <w:sz w:val="28"/>
          <w:szCs w:val="28"/>
          <w:lang w:val="uk-UA"/>
        </w:rPr>
      </w:pPr>
      <w:r w:rsidRPr="00AB345A">
        <w:rPr>
          <w:sz w:val="28"/>
          <w:szCs w:val="28"/>
          <w:lang w:val="uk-UA"/>
        </w:rPr>
        <w:t>до рішення обласної ради</w:t>
      </w:r>
    </w:p>
    <w:p w14:paraId="3CEDC427" w14:textId="77777777" w:rsidR="009F3B91" w:rsidRPr="00AB345A" w:rsidRDefault="0021363D" w:rsidP="009C3CC8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</w:t>
      </w:r>
      <w:r w:rsidR="009F3B91" w:rsidRPr="00AB345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088AD1C8" w14:textId="77777777" w:rsidR="00894201" w:rsidRDefault="00894201">
      <w:pPr>
        <w:rPr>
          <w:sz w:val="28"/>
          <w:szCs w:val="28"/>
          <w:lang w:val="uk-UA"/>
        </w:rPr>
      </w:pPr>
    </w:p>
    <w:p w14:paraId="509E8F51" w14:textId="77777777" w:rsidR="00894201" w:rsidRDefault="00894201">
      <w:pPr>
        <w:rPr>
          <w:sz w:val="28"/>
          <w:szCs w:val="28"/>
          <w:lang w:val="uk-UA"/>
        </w:rPr>
      </w:pPr>
    </w:p>
    <w:p w14:paraId="6DECEFF6" w14:textId="77777777" w:rsidR="00894201" w:rsidRDefault="00894201">
      <w:pPr>
        <w:rPr>
          <w:sz w:val="28"/>
          <w:szCs w:val="28"/>
          <w:lang w:val="uk-UA"/>
        </w:rPr>
      </w:pPr>
    </w:p>
    <w:p w14:paraId="35BEB2E5" w14:textId="77777777" w:rsidR="00894201" w:rsidRDefault="00894201">
      <w:pPr>
        <w:rPr>
          <w:sz w:val="28"/>
          <w:szCs w:val="28"/>
          <w:lang w:val="uk-UA"/>
        </w:rPr>
      </w:pPr>
    </w:p>
    <w:p w14:paraId="6FE1BED9" w14:textId="77777777" w:rsidR="00894201" w:rsidRDefault="00894201">
      <w:pPr>
        <w:rPr>
          <w:sz w:val="28"/>
          <w:szCs w:val="28"/>
          <w:lang w:val="uk-UA"/>
        </w:rPr>
      </w:pPr>
    </w:p>
    <w:p w14:paraId="42638BDC" w14:textId="77777777" w:rsidR="004D4237" w:rsidRDefault="004D4237" w:rsidP="00433033">
      <w:pPr>
        <w:rPr>
          <w:b/>
          <w:sz w:val="40"/>
          <w:szCs w:val="40"/>
          <w:lang w:val="uk-UA"/>
        </w:rPr>
      </w:pPr>
    </w:p>
    <w:p w14:paraId="7FF948AA" w14:textId="77777777" w:rsidR="007D71DE" w:rsidRDefault="007D71DE" w:rsidP="009F3B91">
      <w:pPr>
        <w:jc w:val="center"/>
        <w:rPr>
          <w:b/>
          <w:sz w:val="40"/>
          <w:szCs w:val="40"/>
          <w:lang w:val="uk-UA"/>
        </w:rPr>
      </w:pPr>
    </w:p>
    <w:p w14:paraId="1965A87B" w14:textId="77777777" w:rsidR="006B199C" w:rsidRDefault="006B199C" w:rsidP="009F3B91">
      <w:pPr>
        <w:jc w:val="center"/>
        <w:rPr>
          <w:b/>
          <w:sz w:val="40"/>
          <w:szCs w:val="40"/>
          <w:lang w:val="uk-UA"/>
        </w:rPr>
      </w:pPr>
    </w:p>
    <w:p w14:paraId="6BFD40EF" w14:textId="77777777" w:rsidR="00894201" w:rsidRDefault="00894201" w:rsidP="009F3B9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 Р О Г Р А М А</w:t>
      </w:r>
    </w:p>
    <w:p w14:paraId="6DB11140" w14:textId="77777777" w:rsidR="005967E6" w:rsidRPr="005967E6" w:rsidRDefault="005967E6">
      <w:pPr>
        <w:jc w:val="center"/>
        <w:rPr>
          <w:b/>
          <w:lang w:val="uk-UA"/>
        </w:rPr>
      </w:pPr>
    </w:p>
    <w:p w14:paraId="3CEFAAFA" w14:textId="77777777" w:rsidR="005967E6" w:rsidRDefault="00894201">
      <w:pPr>
        <w:jc w:val="center"/>
        <w:rPr>
          <w:b/>
          <w:sz w:val="40"/>
          <w:szCs w:val="40"/>
          <w:lang w:val="uk-UA"/>
        </w:rPr>
      </w:pPr>
      <w:r w:rsidRPr="005967E6">
        <w:rPr>
          <w:b/>
          <w:sz w:val="40"/>
          <w:szCs w:val="40"/>
          <w:lang w:val="uk-UA"/>
        </w:rPr>
        <w:t xml:space="preserve">підтримки </w:t>
      </w:r>
      <w:r w:rsidR="001E3962">
        <w:rPr>
          <w:b/>
          <w:sz w:val="40"/>
          <w:szCs w:val="40"/>
          <w:lang w:val="uk-UA"/>
        </w:rPr>
        <w:t xml:space="preserve">та розвитку </w:t>
      </w:r>
      <w:r w:rsidRPr="005967E6">
        <w:rPr>
          <w:b/>
          <w:sz w:val="40"/>
          <w:szCs w:val="40"/>
          <w:lang w:val="uk-UA"/>
        </w:rPr>
        <w:t>об</w:t>
      </w:r>
      <w:r w:rsidR="002D4970" w:rsidRPr="005967E6">
        <w:rPr>
          <w:b/>
          <w:sz w:val="40"/>
          <w:szCs w:val="40"/>
          <w:lang w:val="uk-UA"/>
        </w:rPr>
        <w:t>’</w:t>
      </w:r>
      <w:r w:rsidRPr="005967E6">
        <w:rPr>
          <w:b/>
          <w:sz w:val="40"/>
          <w:szCs w:val="40"/>
          <w:lang w:val="uk-UA"/>
        </w:rPr>
        <w:t xml:space="preserve">єктів спільної власності </w:t>
      </w:r>
    </w:p>
    <w:p w14:paraId="517F13DC" w14:textId="77777777" w:rsidR="005967E6" w:rsidRPr="005967E6" w:rsidRDefault="005967E6">
      <w:pPr>
        <w:jc w:val="center"/>
        <w:rPr>
          <w:b/>
          <w:lang w:val="uk-UA"/>
        </w:rPr>
      </w:pPr>
    </w:p>
    <w:p w14:paraId="1329AD00" w14:textId="77777777" w:rsidR="00894201" w:rsidRDefault="00894201">
      <w:pPr>
        <w:jc w:val="center"/>
        <w:rPr>
          <w:b/>
          <w:sz w:val="40"/>
          <w:szCs w:val="40"/>
          <w:lang w:val="uk-UA"/>
        </w:rPr>
      </w:pPr>
      <w:r w:rsidRPr="005967E6">
        <w:rPr>
          <w:b/>
          <w:sz w:val="40"/>
          <w:szCs w:val="40"/>
          <w:lang w:val="uk-UA"/>
        </w:rPr>
        <w:t>територіальних</w:t>
      </w:r>
      <w:r w:rsidR="005967E6">
        <w:rPr>
          <w:b/>
          <w:sz w:val="40"/>
          <w:szCs w:val="40"/>
          <w:lang w:val="uk-UA"/>
        </w:rPr>
        <w:t xml:space="preserve"> </w:t>
      </w:r>
      <w:r w:rsidRPr="005967E6">
        <w:rPr>
          <w:b/>
          <w:sz w:val="40"/>
          <w:szCs w:val="40"/>
          <w:lang w:val="uk-UA"/>
        </w:rPr>
        <w:t>громад області</w:t>
      </w:r>
    </w:p>
    <w:p w14:paraId="40DE96D1" w14:textId="77777777" w:rsidR="005967E6" w:rsidRPr="005967E6" w:rsidRDefault="005967E6">
      <w:pPr>
        <w:jc w:val="center"/>
        <w:rPr>
          <w:b/>
          <w:lang w:val="uk-UA"/>
        </w:rPr>
      </w:pPr>
    </w:p>
    <w:p w14:paraId="364CA425" w14:textId="77777777" w:rsidR="00894201" w:rsidRPr="005967E6" w:rsidRDefault="0021363D">
      <w:pPr>
        <w:jc w:val="center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2021</w:t>
      </w:r>
      <w:r w:rsidR="00894201" w:rsidRPr="005967E6">
        <w:rPr>
          <w:b/>
          <w:sz w:val="40"/>
          <w:szCs w:val="40"/>
          <w:lang w:val="uk-UA"/>
        </w:rPr>
        <w:t xml:space="preserve"> – 20</w:t>
      </w:r>
      <w:r>
        <w:rPr>
          <w:b/>
          <w:sz w:val="40"/>
          <w:szCs w:val="40"/>
          <w:lang w:val="uk-UA"/>
        </w:rPr>
        <w:t>22</w:t>
      </w:r>
      <w:r w:rsidR="00894201" w:rsidRPr="005967E6">
        <w:rPr>
          <w:b/>
          <w:sz w:val="40"/>
          <w:szCs w:val="40"/>
          <w:lang w:val="uk-UA"/>
        </w:rPr>
        <w:t xml:space="preserve"> роки</w:t>
      </w:r>
    </w:p>
    <w:p w14:paraId="3541FF93" w14:textId="77777777" w:rsidR="00894201" w:rsidRDefault="00894201">
      <w:pPr>
        <w:jc w:val="center"/>
        <w:rPr>
          <w:sz w:val="32"/>
          <w:szCs w:val="32"/>
          <w:lang w:val="uk-UA"/>
        </w:rPr>
      </w:pPr>
    </w:p>
    <w:p w14:paraId="3FF685F7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6F7E2D38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5699AB0A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60437579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16FE90CE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3F05ED40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616B95DA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7760B1B8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538EE4C4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2BEB1609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74B92125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7D398C63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23CBAD39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57C135E7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2A3DC2B9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1E640AF3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7F04DAA6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7845125B" w14:textId="77777777" w:rsidR="00894201" w:rsidRDefault="00894201">
      <w:pPr>
        <w:jc w:val="center"/>
        <w:rPr>
          <w:sz w:val="28"/>
          <w:szCs w:val="28"/>
          <w:lang w:val="uk-UA"/>
        </w:rPr>
      </w:pPr>
    </w:p>
    <w:p w14:paraId="0CDE173C" w14:textId="77777777" w:rsidR="003F7B89" w:rsidRPr="003F7B89" w:rsidRDefault="005967E6" w:rsidP="00086FE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F7B89" w:rsidRPr="003F7B89">
        <w:rPr>
          <w:b/>
          <w:sz w:val="28"/>
          <w:szCs w:val="28"/>
          <w:lang w:val="uk-UA"/>
        </w:rPr>
        <w:lastRenderedPageBreak/>
        <w:t xml:space="preserve">Розділ 1. </w:t>
      </w:r>
      <w:r w:rsidR="004225AB">
        <w:rPr>
          <w:b/>
          <w:sz w:val="28"/>
          <w:szCs w:val="28"/>
          <w:lang w:val="uk-UA"/>
        </w:rPr>
        <w:t>Визначення проблеми, мета та обґрунтування необхідності прийняття Програми підтримки та розвитку об’єктів спільної власності територіальних громад області (далі – Програма)</w:t>
      </w:r>
    </w:p>
    <w:p w14:paraId="3F2E1B1C" w14:textId="77777777" w:rsidR="004225AB" w:rsidRDefault="004225AB" w:rsidP="000E5B8A">
      <w:pPr>
        <w:ind w:firstLine="708"/>
        <w:jc w:val="both"/>
        <w:rPr>
          <w:sz w:val="28"/>
          <w:szCs w:val="28"/>
          <w:lang w:val="uk-UA"/>
        </w:rPr>
      </w:pPr>
    </w:p>
    <w:p w14:paraId="66D2D17E" w14:textId="77777777" w:rsidR="002F3AB6" w:rsidRDefault="002937A1" w:rsidP="002F3A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 w:rsidR="002F3AB6">
        <w:rPr>
          <w:sz w:val="28"/>
          <w:szCs w:val="28"/>
          <w:lang w:val="uk-UA"/>
        </w:rPr>
        <w:t xml:space="preserve"> розроблена з метою забезпечення ефективного використання майна обласної комунальної власності шляхом досягнення його збереження, підтримки, а також утримання в безаварійному, належному стані.</w:t>
      </w:r>
    </w:p>
    <w:p w14:paraId="40BBC430" w14:textId="77777777" w:rsidR="002F3AB6" w:rsidRPr="002F3AB6" w:rsidRDefault="002937A1" w:rsidP="002F3A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завданням Програми є поліпшення та збереження стану будівель</w:t>
      </w:r>
      <w:r w:rsidR="00193570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 про</w:t>
      </w:r>
      <w:r w:rsidR="00193570">
        <w:rPr>
          <w:sz w:val="28"/>
          <w:szCs w:val="28"/>
          <w:lang w:val="uk-UA"/>
        </w:rPr>
        <w:t>ведення їх ремонтів, своєчасне</w:t>
      </w:r>
      <w:r>
        <w:rPr>
          <w:sz w:val="28"/>
          <w:szCs w:val="28"/>
          <w:lang w:val="uk-UA"/>
        </w:rPr>
        <w:t xml:space="preserve"> обслуговування інженерних мереж та систем.</w:t>
      </w:r>
    </w:p>
    <w:p w14:paraId="7E62311D" w14:textId="77777777" w:rsidR="003320AD" w:rsidRDefault="002937A1" w:rsidP="003320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подальшого використання</w:t>
      </w:r>
      <w:r w:rsidR="003320AD">
        <w:rPr>
          <w:sz w:val="28"/>
          <w:szCs w:val="28"/>
          <w:lang w:val="uk-UA"/>
        </w:rPr>
        <w:t xml:space="preserve"> більшість об’єктів</w:t>
      </w:r>
      <w:r w:rsidR="003320AD" w:rsidRPr="003320AD">
        <w:rPr>
          <w:sz w:val="28"/>
          <w:szCs w:val="28"/>
          <w:lang w:val="uk-UA"/>
        </w:rPr>
        <w:t xml:space="preserve"> </w:t>
      </w:r>
      <w:r w:rsidR="003320AD">
        <w:rPr>
          <w:sz w:val="28"/>
          <w:szCs w:val="28"/>
          <w:lang w:val="uk-UA"/>
        </w:rPr>
        <w:t xml:space="preserve">потребують значних капітальних вкладень, що дасть можливість проводити поточні та капітальні ремонти будинків, утримувати в робочому стані </w:t>
      </w:r>
      <w:proofErr w:type="spellStart"/>
      <w:r w:rsidR="003320AD">
        <w:rPr>
          <w:sz w:val="28"/>
          <w:szCs w:val="28"/>
          <w:lang w:val="uk-UA"/>
        </w:rPr>
        <w:t>електро-</w:t>
      </w:r>
      <w:proofErr w:type="spellEnd"/>
      <w:r w:rsidR="003320AD">
        <w:rPr>
          <w:sz w:val="28"/>
          <w:szCs w:val="28"/>
          <w:lang w:val="uk-UA"/>
        </w:rPr>
        <w:t xml:space="preserve">, </w:t>
      </w:r>
      <w:proofErr w:type="spellStart"/>
      <w:r w:rsidR="003320AD">
        <w:rPr>
          <w:sz w:val="28"/>
          <w:szCs w:val="28"/>
          <w:lang w:val="uk-UA"/>
        </w:rPr>
        <w:t>тепло-</w:t>
      </w:r>
      <w:proofErr w:type="spellEnd"/>
      <w:r w:rsidR="003320AD">
        <w:rPr>
          <w:sz w:val="28"/>
          <w:szCs w:val="28"/>
          <w:lang w:val="uk-UA"/>
        </w:rPr>
        <w:t xml:space="preserve"> та сантехнічні мережі.</w:t>
      </w:r>
    </w:p>
    <w:p w14:paraId="180310E9" w14:textId="77777777" w:rsidR="003320AD" w:rsidRDefault="00193570" w:rsidP="003320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="003320A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="003320AD">
        <w:rPr>
          <w:sz w:val="28"/>
          <w:szCs w:val="28"/>
          <w:lang w:val="uk-UA"/>
        </w:rPr>
        <w:t xml:space="preserve"> збільшенням навантаження на електромережі та </w:t>
      </w:r>
      <w:r>
        <w:rPr>
          <w:sz w:val="28"/>
          <w:szCs w:val="28"/>
          <w:lang w:val="uk-UA"/>
        </w:rPr>
        <w:t>з метою підвищення рівня їх надійності</w:t>
      </w:r>
      <w:r w:rsidR="003320AD">
        <w:rPr>
          <w:sz w:val="28"/>
          <w:szCs w:val="28"/>
          <w:lang w:val="uk-UA"/>
        </w:rPr>
        <w:t xml:space="preserve"> планується проведення робіт з ремонту </w:t>
      </w:r>
      <w:proofErr w:type="spellStart"/>
      <w:r w:rsidR="003320AD">
        <w:rPr>
          <w:sz w:val="28"/>
          <w:szCs w:val="28"/>
          <w:lang w:val="uk-UA"/>
        </w:rPr>
        <w:t>електрощитових</w:t>
      </w:r>
      <w:proofErr w:type="spellEnd"/>
      <w:r w:rsidR="003320AD">
        <w:rPr>
          <w:sz w:val="28"/>
          <w:szCs w:val="28"/>
          <w:lang w:val="uk-UA"/>
        </w:rPr>
        <w:t xml:space="preserve"> та трансформаторних підстанцій, заміни розподільчих електрощитів та проводів.</w:t>
      </w:r>
    </w:p>
    <w:p w14:paraId="48AC795C" w14:textId="77777777" w:rsidR="003320AD" w:rsidRDefault="003320AD" w:rsidP="003320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технічного обстеження та, у разі необхідності, оформлення нормативно – дозвільної документації, своєчасне здій</w:t>
      </w:r>
      <w:r w:rsidR="00193570">
        <w:rPr>
          <w:sz w:val="28"/>
          <w:szCs w:val="28"/>
          <w:lang w:val="uk-UA"/>
        </w:rPr>
        <w:t>снення ремонтних робіт забезпечи</w:t>
      </w:r>
      <w:r>
        <w:rPr>
          <w:sz w:val="28"/>
          <w:szCs w:val="28"/>
          <w:lang w:val="uk-UA"/>
        </w:rPr>
        <w:t>ть безаварійну роботу ліфтів та дахової котельні.</w:t>
      </w:r>
    </w:p>
    <w:p w14:paraId="1BB8998A" w14:textId="77777777" w:rsidR="003320AD" w:rsidRDefault="003320AD" w:rsidP="003320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Узаконення нормативної бази, дотримання вимог Земельного кодексу України потребують</w:t>
      </w:r>
      <w:r w:rsidRPr="00581E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робіт із виготовлення державних актів на право володіння земельними ділянками, на яких розміщені </w:t>
      </w:r>
      <w:proofErr w:type="spellStart"/>
      <w:r>
        <w:rPr>
          <w:sz w:val="28"/>
          <w:szCs w:val="28"/>
          <w:lang w:val="uk-UA"/>
        </w:rPr>
        <w:t>адмінбудинки</w:t>
      </w:r>
      <w:proofErr w:type="spellEnd"/>
      <w:r>
        <w:rPr>
          <w:sz w:val="28"/>
          <w:szCs w:val="28"/>
          <w:lang w:val="uk-UA"/>
        </w:rPr>
        <w:t>.</w:t>
      </w:r>
    </w:p>
    <w:p w14:paraId="13E6F1D1" w14:textId="77777777" w:rsidR="003320AD" w:rsidRDefault="00CF6679" w:rsidP="003320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цієї Програми дозволить підвищити ефективність використання об’єктів спільної власності територіальних громад</w:t>
      </w:r>
      <w:r w:rsidR="008D3012">
        <w:rPr>
          <w:sz w:val="28"/>
          <w:szCs w:val="28"/>
          <w:lang w:val="uk-UA"/>
        </w:rPr>
        <w:t xml:space="preserve"> області, оперативно вирішувати гострі проблеми, що виникають при утриманні будинків, які знаходяться на балансі комунального підприємства по експлуатації </w:t>
      </w:r>
      <w:proofErr w:type="spellStart"/>
      <w:r w:rsidR="008D3012">
        <w:rPr>
          <w:sz w:val="28"/>
          <w:szCs w:val="28"/>
          <w:lang w:val="uk-UA"/>
        </w:rPr>
        <w:t>адмінбудинків</w:t>
      </w:r>
      <w:proofErr w:type="spellEnd"/>
      <w:r w:rsidR="008D3012">
        <w:rPr>
          <w:sz w:val="28"/>
          <w:szCs w:val="28"/>
          <w:lang w:val="uk-UA"/>
        </w:rPr>
        <w:t xml:space="preserve"> Житомирської обласної ради.</w:t>
      </w:r>
    </w:p>
    <w:p w14:paraId="1DD7989F" w14:textId="77777777" w:rsidR="00D31800" w:rsidRDefault="00D31800" w:rsidP="008D3012">
      <w:pPr>
        <w:jc w:val="both"/>
        <w:rPr>
          <w:sz w:val="28"/>
          <w:szCs w:val="28"/>
          <w:lang w:val="uk-UA"/>
        </w:rPr>
      </w:pPr>
    </w:p>
    <w:p w14:paraId="7306E05A" w14:textId="77777777" w:rsidR="00894201" w:rsidRDefault="004A0769" w:rsidP="00086FE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D31800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зділ </w:t>
      </w:r>
      <w:r w:rsidR="004225AB">
        <w:rPr>
          <w:b/>
          <w:sz w:val="28"/>
          <w:szCs w:val="28"/>
          <w:lang w:val="uk-UA"/>
        </w:rPr>
        <w:t xml:space="preserve">2. Заходи та ресурсне забезпечення </w:t>
      </w:r>
      <w:r w:rsidR="00546E79">
        <w:rPr>
          <w:b/>
          <w:sz w:val="28"/>
          <w:szCs w:val="28"/>
          <w:lang w:val="uk-UA"/>
        </w:rPr>
        <w:t>Програми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851"/>
        <w:gridCol w:w="708"/>
      </w:tblGrid>
      <w:tr w:rsidR="003F7390" w:rsidRPr="009F3EE6" w14:paraId="5B620979" w14:textId="77777777" w:rsidTr="00193570">
        <w:trPr>
          <w:trHeight w:val="412"/>
        </w:trPr>
        <w:tc>
          <w:tcPr>
            <w:tcW w:w="567" w:type="dxa"/>
            <w:vMerge w:val="restart"/>
          </w:tcPr>
          <w:p w14:paraId="69D9DFAB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  <w:r w:rsidRPr="00172E98">
              <w:rPr>
                <w:sz w:val="20"/>
                <w:lang w:eastAsia="ru-RU"/>
              </w:rPr>
              <w:t>№ з/п</w:t>
            </w:r>
          </w:p>
        </w:tc>
        <w:tc>
          <w:tcPr>
            <w:tcW w:w="6237" w:type="dxa"/>
            <w:vMerge w:val="restart"/>
            <w:vAlign w:val="center"/>
          </w:tcPr>
          <w:p w14:paraId="66669070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  <w:r w:rsidRPr="00172E98">
              <w:rPr>
                <w:sz w:val="20"/>
                <w:lang w:eastAsia="ru-RU"/>
              </w:rPr>
              <w:t>Назва заходів</w:t>
            </w:r>
          </w:p>
        </w:tc>
        <w:tc>
          <w:tcPr>
            <w:tcW w:w="1276" w:type="dxa"/>
            <w:vMerge w:val="restart"/>
          </w:tcPr>
          <w:p w14:paraId="07C0196B" w14:textId="77777777" w:rsidR="003F7390" w:rsidRPr="00172E98" w:rsidRDefault="003F7390" w:rsidP="00DE7737">
            <w:pPr>
              <w:pStyle w:val="a9"/>
              <w:rPr>
                <w:sz w:val="20"/>
                <w:lang w:eastAsia="ru-RU"/>
              </w:rPr>
            </w:pPr>
            <w:r w:rsidRPr="00172E98">
              <w:rPr>
                <w:sz w:val="20"/>
                <w:lang w:eastAsia="ru-RU"/>
              </w:rPr>
              <w:t>Орієнтовна вартість,</w:t>
            </w:r>
          </w:p>
          <w:p w14:paraId="6F9BD398" w14:textId="77777777" w:rsidR="003F7390" w:rsidRPr="00172E98" w:rsidRDefault="003F7390" w:rsidP="00DE7737">
            <w:pPr>
              <w:pStyle w:val="a9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тис. </w:t>
            </w:r>
            <w:proofErr w:type="spellStart"/>
            <w:r>
              <w:rPr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8115120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  <w:r w:rsidRPr="00172E98">
              <w:rPr>
                <w:sz w:val="20"/>
                <w:lang w:eastAsia="ru-RU"/>
              </w:rPr>
              <w:t>Термін виконання</w:t>
            </w:r>
          </w:p>
        </w:tc>
      </w:tr>
      <w:tr w:rsidR="003F7390" w:rsidRPr="009F3EE6" w14:paraId="01835335" w14:textId="77777777" w:rsidTr="00193570">
        <w:trPr>
          <w:trHeight w:val="292"/>
        </w:trPr>
        <w:tc>
          <w:tcPr>
            <w:tcW w:w="567" w:type="dxa"/>
            <w:vMerge/>
          </w:tcPr>
          <w:p w14:paraId="5B12406C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14:paraId="663E446D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7DD3F797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CE4E92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0A91479" w14:textId="77777777" w:rsidR="003F7390" w:rsidRPr="00172E98" w:rsidRDefault="003F7390" w:rsidP="00DE7737">
            <w:pPr>
              <w:pStyle w:val="a9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</w:p>
        </w:tc>
      </w:tr>
      <w:tr w:rsidR="003F7390" w:rsidRPr="009F3EE6" w14:paraId="6AB5125C" w14:textId="77777777" w:rsidTr="00193570">
        <w:trPr>
          <w:trHeight w:val="136"/>
        </w:trPr>
        <w:tc>
          <w:tcPr>
            <w:tcW w:w="567" w:type="dxa"/>
            <w:vAlign w:val="center"/>
          </w:tcPr>
          <w:p w14:paraId="261BC54A" w14:textId="77777777" w:rsidR="003F7390" w:rsidRPr="00F23E9C" w:rsidRDefault="003F7390" w:rsidP="00DE7737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F23E9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126C61BB" w14:textId="77777777" w:rsidR="003F7390" w:rsidRPr="00F23E9C" w:rsidRDefault="003F7390" w:rsidP="00DE7737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F23E9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2EE0A9A" w14:textId="77777777" w:rsidR="003F7390" w:rsidRPr="00F23E9C" w:rsidRDefault="003F7390" w:rsidP="00DE7737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F23E9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611998F6" w14:textId="77777777" w:rsidR="003F7390" w:rsidRPr="00F23E9C" w:rsidRDefault="003F7390" w:rsidP="00DE7737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F23E9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2E0E03D0" w14:textId="77777777" w:rsidR="003F7390" w:rsidRPr="00F23E9C" w:rsidRDefault="003F7390" w:rsidP="00DE7737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F23E9C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3F7390" w:rsidRPr="009F3EE6" w14:paraId="5521310D" w14:textId="77777777" w:rsidTr="00193570">
        <w:trPr>
          <w:trHeight w:val="587"/>
        </w:trPr>
        <w:tc>
          <w:tcPr>
            <w:tcW w:w="567" w:type="dxa"/>
            <w:vAlign w:val="center"/>
          </w:tcPr>
          <w:p w14:paraId="3F8E3E6B" w14:textId="77777777" w:rsidR="003F7390" w:rsidRPr="00CA5E02" w:rsidRDefault="003F7390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7" w:type="dxa"/>
          </w:tcPr>
          <w:p w14:paraId="4EFD7765" w14:textId="77777777" w:rsidR="003F7390" w:rsidRPr="00657D71" w:rsidRDefault="003F7390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Ремонт туалетів в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адмінбудинках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 xml:space="preserve"> за адресами:</w:t>
            </w:r>
          </w:p>
          <w:p w14:paraId="6CDA4670" w14:textId="77777777" w:rsidR="003F7390" w:rsidRPr="00657D71" w:rsidRDefault="003F7390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майдан ім. С.П. Корольова, 1, вул. Мала Бердичівська, 25, вул. Мала Бердичівська, 17, вул.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Чуднівська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>, 105</w:t>
            </w:r>
          </w:p>
        </w:tc>
        <w:tc>
          <w:tcPr>
            <w:tcW w:w="1276" w:type="dxa"/>
            <w:vAlign w:val="center"/>
          </w:tcPr>
          <w:p w14:paraId="0CCD3458" w14:textId="77777777" w:rsidR="003F7390" w:rsidRPr="00657D71" w:rsidRDefault="003F7390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14:paraId="375DDEF9" w14:textId="77777777" w:rsidR="003F7390" w:rsidRPr="00657D71" w:rsidRDefault="003F7390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vAlign w:val="center"/>
          </w:tcPr>
          <w:p w14:paraId="273FC97B" w14:textId="77777777" w:rsidR="003F7390" w:rsidRPr="00657D71" w:rsidRDefault="003F7390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5B317A" w:rsidRPr="009F3EE6" w14:paraId="6A2D8FD7" w14:textId="77777777" w:rsidTr="00193570">
        <w:trPr>
          <w:trHeight w:val="949"/>
        </w:trPr>
        <w:tc>
          <w:tcPr>
            <w:tcW w:w="567" w:type="dxa"/>
            <w:vAlign w:val="center"/>
          </w:tcPr>
          <w:p w14:paraId="7563907E" w14:textId="77777777" w:rsidR="005B317A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37" w:type="dxa"/>
          </w:tcPr>
          <w:p w14:paraId="07AB2AA3" w14:textId="77777777" w:rsidR="005B317A" w:rsidRPr="00657D71" w:rsidRDefault="005B317A" w:rsidP="00111960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Ремонт та відновлювальні роботи зовнішньої газ</w:t>
            </w:r>
            <w:r>
              <w:rPr>
                <w:sz w:val="24"/>
                <w:szCs w:val="24"/>
                <w:lang w:eastAsia="ru-RU"/>
              </w:rPr>
              <w:t>опровідної мережі низького</w:t>
            </w:r>
            <w:r w:rsidRPr="00657D71">
              <w:rPr>
                <w:sz w:val="24"/>
                <w:szCs w:val="24"/>
                <w:lang w:eastAsia="ru-RU"/>
              </w:rPr>
              <w:t xml:space="preserve"> та середнього тиску до дахової котельні за адресою: вул. Мала Бердичівська, 25</w:t>
            </w:r>
          </w:p>
        </w:tc>
        <w:tc>
          <w:tcPr>
            <w:tcW w:w="1276" w:type="dxa"/>
            <w:vAlign w:val="center"/>
          </w:tcPr>
          <w:p w14:paraId="4C8F623E" w14:textId="77777777" w:rsidR="005B317A" w:rsidRPr="00657D71" w:rsidRDefault="005B317A" w:rsidP="00111960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14:paraId="33B8B2C0" w14:textId="77777777" w:rsidR="005B317A" w:rsidRPr="00657D71" w:rsidRDefault="005B317A" w:rsidP="00111960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14:paraId="4FAE3B80" w14:textId="77777777" w:rsidR="005B317A" w:rsidRPr="00657D71" w:rsidRDefault="005B317A" w:rsidP="00111960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14:paraId="70F40BFC" w14:textId="77777777" w:rsidR="005B317A" w:rsidRDefault="005B317A">
      <w:r>
        <w:br w:type="page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851"/>
        <w:gridCol w:w="708"/>
      </w:tblGrid>
      <w:tr w:rsidR="005B317A" w:rsidRPr="009F3EE6" w14:paraId="1304B267" w14:textId="77777777" w:rsidTr="00193570">
        <w:trPr>
          <w:trHeight w:val="307"/>
        </w:trPr>
        <w:tc>
          <w:tcPr>
            <w:tcW w:w="567" w:type="dxa"/>
            <w:vAlign w:val="center"/>
          </w:tcPr>
          <w:p w14:paraId="5D7CBD6E" w14:textId="77777777" w:rsidR="005B317A" w:rsidRPr="005B317A" w:rsidRDefault="005B317A" w:rsidP="005B317A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5B317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157BFA9B" w14:textId="77777777" w:rsidR="005B317A" w:rsidRPr="005B317A" w:rsidRDefault="005B317A" w:rsidP="005B317A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5B317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5049D763" w14:textId="77777777" w:rsidR="005B317A" w:rsidRPr="005B317A" w:rsidRDefault="005B317A" w:rsidP="005B317A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5B317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3BD8CAF4" w14:textId="77777777" w:rsidR="005B317A" w:rsidRPr="005B317A" w:rsidRDefault="005B317A" w:rsidP="005B317A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5B317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06EED241" w14:textId="77777777" w:rsidR="005B317A" w:rsidRPr="005B317A" w:rsidRDefault="005B317A" w:rsidP="005B317A">
            <w:pPr>
              <w:pStyle w:val="a9"/>
              <w:jc w:val="center"/>
              <w:rPr>
                <w:sz w:val="16"/>
                <w:szCs w:val="16"/>
                <w:lang w:eastAsia="ru-RU"/>
              </w:rPr>
            </w:pPr>
            <w:r w:rsidRPr="005B317A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5B317A" w:rsidRPr="009F3EE6" w14:paraId="0127AFC3" w14:textId="77777777" w:rsidTr="00193570">
        <w:trPr>
          <w:trHeight w:val="513"/>
        </w:trPr>
        <w:tc>
          <w:tcPr>
            <w:tcW w:w="567" w:type="dxa"/>
            <w:vAlign w:val="center"/>
          </w:tcPr>
          <w:p w14:paraId="363CC208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37" w:type="dxa"/>
          </w:tcPr>
          <w:p w14:paraId="53EC719D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електрощитових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 xml:space="preserve"> та трансформаторних підстанцій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657D7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657D71">
              <w:rPr>
                <w:sz w:val="24"/>
                <w:szCs w:val="24"/>
                <w:lang w:eastAsia="ru-RU"/>
              </w:rPr>
              <w:t xml:space="preserve">аміна розподільчих електрощитів та проводів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внутрішньобудинкових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 xml:space="preserve"> електричних мереж в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адмінбудинках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 xml:space="preserve"> за адресами: майдан ім. С.П. Корольова, </w:t>
            </w:r>
            <w:r>
              <w:rPr>
                <w:sz w:val="24"/>
                <w:szCs w:val="24"/>
                <w:lang w:eastAsia="ru-RU"/>
              </w:rPr>
              <w:t xml:space="preserve">1, </w:t>
            </w:r>
            <w:r w:rsidRPr="00657D71">
              <w:rPr>
                <w:sz w:val="24"/>
                <w:szCs w:val="24"/>
                <w:lang w:eastAsia="ru-RU"/>
              </w:rPr>
              <w:t>майдан ім. С.П. Корольова</w:t>
            </w:r>
            <w:r>
              <w:rPr>
                <w:sz w:val="24"/>
                <w:szCs w:val="24"/>
                <w:lang w:eastAsia="ru-RU"/>
              </w:rPr>
              <w:t>, 2,</w:t>
            </w:r>
            <w:r w:rsidRPr="00657D71">
              <w:rPr>
                <w:sz w:val="24"/>
                <w:szCs w:val="24"/>
                <w:lang w:eastAsia="ru-RU"/>
              </w:rPr>
              <w:t xml:space="preserve"> </w:t>
            </w:r>
          </w:p>
          <w:p w14:paraId="30CF8388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майдан ім. С.П. Корольова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657D71">
              <w:rPr>
                <w:sz w:val="24"/>
                <w:szCs w:val="24"/>
                <w:lang w:eastAsia="ru-RU"/>
              </w:rPr>
              <w:t xml:space="preserve"> 12, </w:t>
            </w:r>
          </w:p>
          <w:p w14:paraId="23F5B6AC" w14:textId="77777777" w:rsidR="00193570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вул. Мала Бердичівська, 25, </w:t>
            </w:r>
            <w:r>
              <w:rPr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Чуднівська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>, 105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14:paraId="246DBC27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вул.</w:t>
            </w:r>
            <w:r w:rsidR="0019357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Домбровського, 38</w:t>
            </w:r>
          </w:p>
        </w:tc>
        <w:tc>
          <w:tcPr>
            <w:tcW w:w="1276" w:type="dxa"/>
            <w:vAlign w:val="center"/>
          </w:tcPr>
          <w:p w14:paraId="20D7EB94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Pr="00657D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6754437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14:paraId="2BC6B558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657D7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B317A" w:rsidRPr="009F3EE6" w14:paraId="1455CCC2" w14:textId="77777777" w:rsidTr="00193570">
        <w:trPr>
          <w:trHeight w:val="1495"/>
        </w:trPr>
        <w:tc>
          <w:tcPr>
            <w:tcW w:w="567" w:type="dxa"/>
            <w:vAlign w:val="center"/>
          </w:tcPr>
          <w:p w14:paraId="6A8E878E" w14:textId="77777777" w:rsidR="005B317A" w:rsidRPr="009F3EE6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37" w:type="dxa"/>
          </w:tcPr>
          <w:p w14:paraId="78F349DF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Технічне обстеження, ремонт та оформлення нормативно – дозвільної документації на ліфти за адресами:</w:t>
            </w:r>
          </w:p>
          <w:p w14:paraId="2865DBE9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майдан ім. С.П. Корольова, 1,</w:t>
            </w:r>
          </w:p>
          <w:p w14:paraId="66B242B3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 майдан ім. С.П. Корольова, 12, </w:t>
            </w:r>
          </w:p>
          <w:p w14:paraId="5FB5AAB0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вул. Мала Бердичівська, 25, вул. Мала Бердичівська, 17, </w:t>
            </w:r>
          </w:p>
          <w:p w14:paraId="5761FDB9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Чуднівська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>, 105, вул. Шевченка, 18 а, та дахову котельню за адресою: вул. Мала Бердичівська, 25</w:t>
            </w:r>
          </w:p>
        </w:tc>
        <w:tc>
          <w:tcPr>
            <w:tcW w:w="1276" w:type="dxa"/>
            <w:vAlign w:val="center"/>
          </w:tcPr>
          <w:p w14:paraId="654F8F9A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14:paraId="3844E847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vAlign w:val="center"/>
          </w:tcPr>
          <w:p w14:paraId="468FC3C2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5B317A" w:rsidRPr="009F3EE6" w14:paraId="18662EDF" w14:textId="77777777" w:rsidTr="00193570">
        <w:trPr>
          <w:trHeight w:val="1092"/>
        </w:trPr>
        <w:tc>
          <w:tcPr>
            <w:tcW w:w="567" w:type="dxa"/>
            <w:vAlign w:val="center"/>
          </w:tcPr>
          <w:p w14:paraId="3A9CFBCE" w14:textId="77777777" w:rsidR="005B317A" w:rsidRPr="009F3EE6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37" w:type="dxa"/>
          </w:tcPr>
          <w:p w14:paraId="3374D2B2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Ремонт покрівлі в будинках за адресами: </w:t>
            </w:r>
          </w:p>
          <w:p w14:paraId="23C3CDBC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вул. Леха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Качинського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 xml:space="preserve">, 12 а, вул. Мала Бердичівська, 17, </w:t>
            </w:r>
          </w:p>
          <w:p w14:paraId="29B85B52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вул. Театральна,</w:t>
            </w:r>
            <w:r>
              <w:rPr>
                <w:sz w:val="24"/>
                <w:szCs w:val="24"/>
                <w:lang w:eastAsia="ru-RU"/>
              </w:rPr>
              <w:t xml:space="preserve"> 17/20, вул.</w:t>
            </w:r>
            <w:r w:rsidRPr="00657D71">
              <w:rPr>
                <w:sz w:val="24"/>
                <w:szCs w:val="24"/>
                <w:lang w:eastAsia="ru-RU"/>
              </w:rPr>
              <w:t xml:space="preserve"> Велика Бердичівська, 118, складських приміщень та гаражів за адресою: </w:t>
            </w:r>
          </w:p>
          <w:p w14:paraId="20943135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провулок І-й Іподромний, 15 а</w:t>
            </w:r>
          </w:p>
        </w:tc>
        <w:tc>
          <w:tcPr>
            <w:tcW w:w="1276" w:type="dxa"/>
            <w:vAlign w:val="center"/>
          </w:tcPr>
          <w:p w14:paraId="70307E9D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657D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14:paraId="0F764E5D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657D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vAlign w:val="center"/>
          </w:tcPr>
          <w:p w14:paraId="48A90D0B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657D71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317A" w:rsidRPr="009F3EE6" w14:paraId="0A6BAFE7" w14:textId="77777777" w:rsidTr="00193570">
        <w:trPr>
          <w:trHeight w:val="701"/>
        </w:trPr>
        <w:tc>
          <w:tcPr>
            <w:tcW w:w="567" w:type="dxa"/>
            <w:vAlign w:val="center"/>
          </w:tcPr>
          <w:p w14:paraId="2320EC9E" w14:textId="77777777" w:rsidR="005B317A" w:rsidRPr="009F3EE6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14:paraId="41222770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Охорона та утримання нерухомого майна, переданого на баланс згідно з рішеннями обласної ради за адресами:</w:t>
            </w:r>
          </w:p>
          <w:p w14:paraId="564FDCD0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м. Бердичів,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57D71">
              <w:rPr>
                <w:sz w:val="24"/>
                <w:szCs w:val="24"/>
                <w:lang w:eastAsia="ru-RU"/>
              </w:rPr>
              <w:t>вул. Європейсь</w:t>
            </w:r>
            <w:r w:rsidR="00193570">
              <w:rPr>
                <w:sz w:val="24"/>
                <w:szCs w:val="24"/>
                <w:lang w:eastAsia="ru-RU"/>
              </w:rPr>
              <w:t>ка, 43,</w:t>
            </w:r>
            <w:r w:rsidRPr="00657D71">
              <w:rPr>
                <w:sz w:val="24"/>
                <w:szCs w:val="24"/>
                <w:lang w:eastAsia="ru-RU"/>
              </w:rPr>
              <w:t xml:space="preserve"> Овруцький район, </w:t>
            </w:r>
          </w:p>
          <w:p w14:paraId="50D6EB55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с. Великий Кобилин, м. Житомир, пров. Оздоровчий, 7</w:t>
            </w:r>
          </w:p>
        </w:tc>
        <w:tc>
          <w:tcPr>
            <w:tcW w:w="1276" w:type="dxa"/>
            <w:vAlign w:val="center"/>
          </w:tcPr>
          <w:p w14:paraId="600EF890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51" w:type="dxa"/>
            <w:vAlign w:val="center"/>
          </w:tcPr>
          <w:p w14:paraId="3962A09A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8" w:type="dxa"/>
            <w:vAlign w:val="center"/>
          </w:tcPr>
          <w:p w14:paraId="17B80A31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</w:t>
            </w:r>
          </w:p>
        </w:tc>
      </w:tr>
      <w:tr w:rsidR="005B317A" w:rsidRPr="009F3EE6" w14:paraId="1AD9E996" w14:textId="77777777" w:rsidTr="00193570">
        <w:trPr>
          <w:trHeight w:val="545"/>
        </w:trPr>
        <w:tc>
          <w:tcPr>
            <w:tcW w:w="567" w:type="dxa"/>
            <w:vAlign w:val="center"/>
          </w:tcPr>
          <w:p w14:paraId="6047E9F0" w14:textId="77777777" w:rsidR="005B317A" w:rsidRPr="009F3EE6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37" w:type="dxa"/>
          </w:tcPr>
          <w:p w14:paraId="41E67ECB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Оформлення та виготовлення документів на право володіння земельними ділянками</w:t>
            </w:r>
          </w:p>
        </w:tc>
        <w:tc>
          <w:tcPr>
            <w:tcW w:w="1276" w:type="dxa"/>
            <w:vAlign w:val="center"/>
          </w:tcPr>
          <w:p w14:paraId="429B0D15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5151C894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14:paraId="4988A976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5B317A" w:rsidRPr="009F3EE6" w14:paraId="2789D2A4" w14:textId="77777777" w:rsidTr="00193570">
        <w:trPr>
          <w:trHeight w:val="565"/>
        </w:trPr>
        <w:tc>
          <w:tcPr>
            <w:tcW w:w="567" w:type="dxa"/>
            <w:vAlign w:val="center"/>
          </w:tcPr>
          <w:p w14:paraId="34E2F18A" w14:textId="77777777" w:rsidR="005B317A" w:rsidRPr="009F3EE6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37" w:type="dxa"/>
          </w:tcPr>
          <w:p w14:paraId="01591101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Відшкодування понесених витрат на утримання об’єктів спільної власності</w:t>
            </w:r>
          </w:p>
        </w:tc>
        <w:tc>
          <w:tcPr>
            <w:tcW w:w="1276" w:type="dxa"/>
            <w:vAlign w:val="center"/>
          </w:tcPr>
          <w:p w14:paraId="50EE0CFC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1" w:type="dxa"/>
            <w:vAlign w:val="center"/>
          </w:tcPr>
          <w:p w14:paraId="5774ED2C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8" w:type="dxa"/>
            <w:vAlign w:val="center"/>
          </w:tcPr>
          <w:p w14:paraId="3BBB9D2E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</w:t>
            </w:r>
          </w:p>
        </w:tc>
      </w:tr>
      <w:tr w:rsidR="005B317A" w:rsidRPr="009F3EE6" w14:paraId="1C3CE5F8" w14:textId="77777777" w:rsidTr="00193570">
        <w:trPr>
          <w:trHeight w:val="563"/>
        </w:trPr>
        <w:tc>
          <w:tcPr>
            <w:tcW w:w="567" w:type="dxa"/>
            <w:vAlign w:val="center"/>
          </w:tcPr>
          <w:p w14:paraId="6D62AAC0" w14:textId="77777777" w:rsidR="005B317A" w:rsidRPr="009F3EE6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237" w:type="dxa"/>
          </w:tcPr>
          <w:p w14:paraId="7D3D8B65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Відшкодування витрат на утримання будинків та прибудинкових територій</w:t>
            </w:r>
          </w:p>
        </w:tc>
        <w:tc>
          <w:tcPr>
            <w:tcW w:w="1276" w:type="dxa"/>
            <w:vAlign w:val="center"/>
          </w:tcPr>
          <w:p w14:paraId="3D19A770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5315</w:t>
            </w:r>
          </w:p>
        </w:tc>
        <w:tc>
          <w:tcPr>
            <w:tcW w:w="851" w:type="dxa"/>
            <w:vAlign w:val="center"/>
          </w:tcPr>
          <w:p w14:paraId="1C39565F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708" w:type="dxa"/>
            <w:vAlign w:val="center"/>
          </w:tcPr>
          <w:p w14:paraId="5EB33674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2900</w:t>
            </w:r>
          </w:p>
        </w:tc>
      </w:tr>
      <w:tr w:rsidR="005B317A" w:rsidRPr="009F3EE6" w14:paraId="72DA9322" w14:textId="77777777" w:rsidTr="00193570">
        <w:trPr>
          <w:trHeight w:val="550"/>
        </w:trPr>
        <w:tc>
          <w:tcPr>
            <w:tcW w:w="567" w:type="dxa"/>
            <w:vAlign w:val="center"/>
          </w:tcPr>
          <w:p w14:paraId="674F2F29" w14:textId="77777777" w:rsidR="005B317A" w:rsidRPr="009F3EE6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37" w:type="dxa"/>
          </w:tcPr>
          <w:p w14:paraId="63D13074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Поточний ремонт кабінетів в </w:t>
            </w:r>
            <w:proofErr w:type="spellStart"/>
            <w:r w:rsidRPr="00657D71">
              <w:rPr>
                <w:sz w:val="24"/>
                <w:szCs w:val="24"/>
                <w:lang w:eastAsia="ru-RU"/>
              </w:rPr>
              <w:t>адмінбудинках</w:t>
            </w:r>
            <w:proofErr w:type="spellEnd"/>
            <w:r w:rsidRPr="00657D71">
              <w:rPr>
                <w:sz w:val="24"/>
                <w:szCs w:val="24"/>
                <w:lang w:eastAsia="ru-RU"/>
              </w:rPr>
              <w:t xml:space="preserve"> за адресами: майдан ім. С.П. Корольова, 1, </w:t>
            </w:r>
          </w:p>
          <w:p w14:paraId="6B3CB5F1" w14:textId="77777777" w:rsidR="005B317A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 xml:space="preserve">майдан ім. С.П. Корольова, 3/14, </w:t>
            </w:r>
          </w:p>
          <w:p w14:paraId="131CDCA8" w14:textId="77777777" w:rsidR="005B317A" w:rsidRPr="00657D71" w:rsidRDefault="005B317A" w:rsidP="002814D2">
            <w:pPr>
              <w:pStyle w:val="a9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майдан ім. С.П. Корольова, 12, вул. Мала Бердичівська, 25</w:t>
            </w:r>
          </w:p>
        </w:tc>
        <w:tc>
          <w:tcPr>
            <w:tcW w:w="1276" w:type="dxa"/>
            <w:vAlign w:val="center"/>
          </w:tcPr>
          <w:p w14:paraId="5549E77B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14:paraId="0F423A58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14:paraId="7AC50194" w14:textId="77777777" w:rsidR="005B317A" w:rsidRPr="00657D71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657D7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5B317A" w:rsidRPr="001E6A10" w14:paraId="419AE262" w14:textId="77777777" w:rsidTr="00193570">
        <w:trPr>
          <w:trHeight w:val="781"/>
        </w:trPr>
        <w:tc>
          <w:tcPr>
            <w:tcW w:w="567" w:type="dxa"/>
            <w:vAlign w:val="center"/>
          </w:tcPr>
          <w:p w14:paraId="464B6FAB" w14:textId="77777777" w:rsidR="005B317A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14:paraId="5707D7C0" w14:textId="77777777" w:rsidR="005B317A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Заміна теплових лічильників в </w:t>
            </w:r>
            <w:proofErr w:type="spellStart"/>
            <w:r>
              <w:rPr>
                <w:sz w:val="22"/>
                <w:szCs w:val="22"/>
                <w:lang w:eastAsia="ru-RU"/>
              </w:rPr>
              <w:t>адмінбудинках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за адресами: </w:t>
            </w:r>
          </w:p>
          <w:p w14:paraId="62ECB86A" w14:textId="77777777" w:rsidR="00B60E0E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вул. Театральна, 17/20, вул. </w:t>
            </w:r>
            <w:proofErr w:type="spellStart"/>
            <w:r>
              <w:rPr>
                <w:sz w:val="22"/>
                <w:szCs w:val="22"/>
                <w:lang w:eastAsia="ru-RU"/>
              </w:rPr>
              <w:t>Чуднівська</w:t>
            </w:r>
            <w:proofErr w:type="spellEnd"/>
            <w:r>
              <w:rPr>
                <w:sz w:val="22"/>
                <w:szCs w:val="22"/>
                <w:lang w:eastAsia="ru-RU"/>
              </w:rPr>
              <w:t>, 105,</w:t>
            </w:r>
          </w:p>
          <w:p w14:paraId="2E6BA847" w14:textId="77777777" w:rsidR="005B317A" w:rsidRPr="00CA5E02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вул. Мала Бердичівська, 17 б</w:t>
            </w:r>
          </w:p>
        </w:tc>
        <w:tc>
          <w:tcPr>
            <w:tcW w:w="1276" w:type="dxa"/>
            <w:vAlign w:val="center"/>
          </w:tcPr>
          <w:p w14:paraId="7323899A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851" w:type="dxa"/>
            <w:vAlign w:val="center"/>
          </w:tcPr>
          <w:p w14:paraId="3562C2AC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14:paraId="28D2FF5A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</w:t>
            </w:r>
          </w:p>
        </w:tc>
      </w:tr>
      <w:tr w:rsidR="005B317A" w:rsidRPr="001E6A10" w14:paraId="462AFBF3" w14:textId="77777777" w:rsidTr="00193570">
        <w:trPr>
          <w:trHeight w:val="996"/>
        </w:trPr>
        <w:tc>
          <w:tcPr>
            <w:tcW w:w="567" w:type="dxa"/>
            <w:vAlign w:val="center"/>
          </w:tcPr>
          <w:p w14:paraId="6DEB9667" w14:textId="77777777" w:rsidR="005B317A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14:paraId="01F5CE3B" w14:textId="77777777" w:rsidR="005B317A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Встановлення приладів обліку електроенергії з функцією </w:t>
            </w:r>
            <w:proofErr w:type="spellStart"/>
            <w:r>
              <w:rPr>
                <w:sz w:val="22"/>
                <w:szCs w:val="22"/>
                <w:lang w:eastAsia="ru-RU"/>
              </w:rPr>
              <w:t>інтервального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обліку та дистанційного зчитування в будинках за адресами: майдан ім. С.П. Корольова, 1, </w:t>
            </w:r>
          </w:p>
          <w:p w14:paraId="4DF5549F" w14:textId="77777777" w:rsidR="005B317A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майдан ім. С.П. Корольова, 12,</w:t>
            </w:r>
          </w:p>
          <w:p w14:paraId="57BC3187" w14:textId="77777777" w:rsidR="005B317A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майдан ім. С.П. Корольова, 3/14, пров. І – й Іп</w:t>
            </w:r>
            <w:r w:rsidR="00193570">
              <w:rPr>
                <w:sz w:val="22"/>
                <w:szCs w:val="22"/>
                <w:lang w:eastAsia="ru-RU"/>
              </w:rPr>
              <w:t>одромний, 15 а, вул. Домбровсько</w:t>
            </w:r>
            <w:r>
              <w:rPr>
                <w:sz w:val="22"/>
                <w:szCs w:val="22"/>
                <w:lang w:eastAsia="ru-RU"/>
              </w:rPr>
              <w:t xml:space="preserve">го, 38, вул. Мала Бердичівська, 17, </w:t>
            </w:r>
          </w:p>
          <w:p w14:paraId="69C4E9BF" w14:textId="77777777" w:rsidR="005B317A" w:rsidRPr="00CA5E02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Бульвар Новий, 5</w:t>
            </w:r>
          </w:p>
        </w:tc>
        <w:tc>
          <w:tcPr>
            <w:tcW w:w="1276" w:type="dxa"/>
            <w:vAlign w:val="center"/>
          </w:tcPr>
          <w:p w14:paraId="42483F32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1" w:type="dxa"/>
            <w:vAlign w:val="center"/>
          </w:tcPr>
          <w:p w14:paraId="68AD2FD6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14:paraId="57111A4E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</w:tr>
      <w:tr w:rsidR="005B317A" w:rsidRPr="001E6A10" w14:paraId="287A9309" w14:textId="77777777" w:rsidTr="00193570">
        <w:trPr>
          <w:trHeight w:val="996"/>
        </w:trPr>
        <w:tc>
          <w:tcPr>
            <w:tcW w:w="567" w:type="dxa"/>
            <w:vAlign w:val="center"/>
          </w:tcPr>
          <w:p w14:paraId="7A107C67" w14:textId="77777777" w:rsidR="005B317A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14:paraId="65818788" w14:textId="77777777" w:rsidR="005B317A" w:rsidRDefault="00AD69B7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Ремонт коридорів, вестибюлів</w:t>
            </w:r>
            <w:r w:rsidR="00193570">
              <w:rPr>
                <w:sz w:val="22"/>
                <w:szCs w:val="22"/>
                <w:lang w:eastAsia="ru-RU"/>
              </w:rPr>
              <w:t>, сходових кліток у</w:t>
            </w:r>
            <w:r w:rsidR="005B317A">
              <w:rPr>
                <w:sz w:val="22"/>
                <w:szCs w:val="22"/>
                <w:lang w:eastAsia="ru-RU"/>
              </w:rPr>
              <w:t xml:space="preserve"> б</w:t>
            </w:r>
            <w:r>
              <w:rPr>
                <w:sz w:val="22"/>
                <w:szCs w:val="22"/>
                <w:lang w:eastAsia="ru-RU"/>
              </w:rPr>
              <w:t>удинках за адресами: майдан ім.</w:t>
            </w:r>
            <w:r w:rsidR="005B317A">
              <w:rPr>
                <w:sz w:val="22"/>
                <w:szCs w:val="22"/>
                <w:lang w:eastAsia="ru-RU"/>
              </w:rPr>
              <w:t xml:space="preserve"> С.П. Корольова, 1,</w:t>
            </w:r>
          </w:p>
          <w:p w14:paraId="35396006" w14:textId="77777777" w:rsidR="005B317A" w:rsidRDefault="00AD69B7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майдан ім.</w:t>
            </w:r>
            <w:r w:rsidR="00193570">
              <w:rPr>
                <w:sz w:val="22"/>
                <w:szCs w:val="22"/>
                <w:lang w:eastAsia="ru-RU"/>
              </w:rPr>
              <w:t xml:space="preserve"> С.П. Корольова, 12, вул. Мала</w:t>
            </w:r>
            <w:r w:rsidR="005B317A">
              <w:rPr>
                <w:sz w:val="22"/>
                <w:szCs w:val="22"/>
                <w:lang w:eastAsia="ru-RU"/>
              </w:rPr>
              <w:t xml:space="preserve"> Бердичівська, 25, </w:t>
            </w:r>
          </w:p>
          <w:p w14:paraId="75258411" w14:textId="77777777" w:rsidR="005B317A" w:rsidRDefault="005B317A" w:rsidP="002814D2">
            <w:pPr>
              <w:pStyle w:val="a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вул. Мала Бердичівська, 17</w:t>
            </w:r>
          </w:p>
        </w:tc>
        <w:tc>
          <w:tcPr>
            <w:tcW w:w="1276" w:type="dxa"/>
            <w:vAlign w:val="center"/>
          </w:tcPr>
          <w:p w14:paraId="3B4881BA" w14:textId="77777777" w:rsidR="005B317A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851" w:type="dxa"/>
            <w:vAlign w:val="center"/>
          </w:tcPr>
          <w:p w14:paraId="67A598A8" w14:textId="77777777" w:rsidR="005B317A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14:paraId="56DE47EF" w14:textId="77777777" w:rsidR="005B317A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5B317A" w:rsidRPr="001C3BD6" w14:paraId="06D6958F" w14:textId="77777777" w:rsidTr="00193570">
        <w:trPr>
          <w:trHeight w:val="175"/>
        </w:trPr>
        <w:tc>
          <w:tcPr>
            <w:tcW w:w="567" w:type="dxa"/>
            <w:vAlign w:val="center"/>
          </w:tcPr>
          <w:p w14:paraId="016799BD" w14:textId="77777777" w:rsidR="005B317A" w:rsidRDefault="005B317A" w:rsidP="00DE7737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7E81967D" w14:textId="77777777" w:rsidR="005B317A" w:rsidRPr="00CA5E02" w:rsidRDefault="005B317A" w:rsidP="00DE7737">
            <w:pPr>
              <w:pStyle w:val="a9"/>
              <w:rPr>
                <w:sz w:val="22"/>
                <w:szCs w:val="22"/>
                <w:lang w:eastAsia="ru-RU"/>
              </w:rPr>
            </w:pPr>
            <w:r w:rsidRPr="00CA5E02">
              <w:rPr>
                <w:sz w:val="22"/>
                <w:szCs w:val="22"/>
                <w:lang w:eastAsia="ru-RU"/>
              </w:rPr>
              <w:t>Всього:</w:t>
            </w:r>
          </w:p>
        </w:tc>
        <w:tc>
          <w:tcPr>
            <w:tcW w:w="1276" w:type="dxa"/>
            <w:vAlign w:val="center"/>
          </w:tcPr>
          <w:p w14:paraId="4C772768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15165 </w:t>
            </w:r>
          </w:p>
        </w:tc>
        <w:tc>
          <w:tcPr>
            <w:tcW w:w="851" w:type="dxa"/>
            <w:vAlign w:val="center"/>
          </w:tcPr>
          <w:p w14:paraId="122F98AD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7205</w:t>
            </w:r>
          </w:p>
        </w:tc>
        <w:tc>
          <w:tcPr>
            <w:tcW w:w="708" w:type="dxa"/>
            <w:vAlign w:val="center"/>
          </w:tcPr>
          <w:p w14:paraId="4700DACC" w14:textId="77777777" w:rsidR="005B317A" w:rsidRPr="00CA5E02" w:rsidRDefault="005B317A" w:rsidP="00DE7737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7960</w:t>
            </w:r>
          </w:p>
        </w:tc>
      </w:tr>
    </w:tbl>
    <w:p w14:paraId="7134536E" w14:textId="77777777" w:rsidR="00D012BE" w:rsidRPr="00ED6D4C" w:rsidRDefault="00D012BE" w:rsidP="00ED6D4C">
      <w:pPr>
        <w:jc w:val="both"/>
        <w:rPr>
          <w:b/>
          <w:sz w:val="16"/>
          <w:szCs w:val="16"/>
          <w:lang w:val="uk-UA"/>
        </w:rPr>
      </w:pPr>
    </w:p>
    <w:p w14:paraId="7F71A3E9" w14:textId="77777777" w:rsidR="002814D2" w:rsidRDefault="002814D2" w:rsidP="00E80024">
      <w:pPr>
        <w:ind w:firstLine="708"/>
        <w:jc w:val="both"/>
        <w:rPr>
          <w:b/>
          <w:sz w:val="28"/>
          <w:szCs w:val="28"/>
          <w:lang w:val="uk-UA"/>
        </w:rPr>
      </w:pPr>
    </w:p>
    <w:p w14:paraId="45AA12B6" w14:textId="77777777" w:rsidR="003E1911" w:rsidRDefault="004225AB" w:rsidP="00E8002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3. Система управління</w:t>
      </w:r>
      <w:r w:rsidR="003E1911" w:rsidRPr="003E1911">
        <w:rPr>
          <w:b/>
          <w:sz w:val="28"/>
          <w:szCs w:val="28"/>
          <w:lang w:val="uk-UA"/>
        </w:rPr>
        <w:t xml:space="preserve"> та контро</w:t>
      </w:r>
      <w:r w:rsidR="00BE35BB">
        <w:rPr>
          <w:b/>
          <w:sz w:val="28"/>
          <w:szCs w:val="28"/>
          <w:lang w:val="uk-UA"/>
        </w:rPr>
        <w:t>ль</w:t>
      </w:r>
      <w:r w:rsidR="00755EE4">
        <w:rPr>
          <w:b/>
          <w:sz w:val="28"/>
          <w:szCs w:val="28"/>
          <w:lang w:val="uk-UA"/>
        </w:rPr>
        <w:t xml:space="preserve"> за ходом виконання Програми</w:t>
      </w:r>
    </w:p>
    <w:p w14:paraId="289CADB4" w14:textId="77777777" w:rsidR="00D012BE" w:rsidRDefault="003E1911" w:rsidP="00AC0E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1DC0A736" w14:textId="77777777" w:rsidR="003E1911" w:rsidRDefault="00D636EE" w:rsidP="001876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та б</w:t>
      </w:r>
      <w:r w:rsidR="003E1911">
        <w:rPr>
          <w:sz w:val="28"/>
          <w:szCs w:val="28"/>
          <w:lang w:val="uk-UA"/>
        </w:rPr>
        <w:t>езп</w:t>
      </w:r>
      <w:r w:rsidR="00187611">
        <w:rPr>
          <w:sz w:val="28"/>
          <w:szCs w:val="28"/>
          <w:lang w:val="uk-UA"/>
        </w:rPr>
        <w:t>осередній контроль за здійсненням</w:t>
      </w:r>
      <w:r w:rsidR="003E1911">
        <w:rPr>
          <w:sz w:val="28"/>
          <w:szCs w:val="28"/>
          <w:lang w:val="uk-UA"/>
        </w:rPr>
        <w:t xml:space="preserve"> захо</w:t>
      </w:r>
      <w:r w:rsidR="00036FE2">
        <w:rPr>
          <w:sz w:val="28"/>
          <w:szCs w:val="28"/>
          <w:lang w:val="uk-UA"/>
        </w:rPr>
        <w:t>дів і завд</w:t>
      </w:r>
      <w:r w:rsidR="00755EE4">
        <w:rPr>
          <w:sz w:val="28"/>
          <w:szCs w:val="28"/>
          <w:lang w:val="uk-UA"/>
        </w:rPr>
        <w:t>ань П</w:t>
      </w:r>
      <w:r w:rsidR="001530D7">
        <w:rPr>
          <w:sz w:val="28"/>
          <w:szCs w:val="28"/>
          <w:lang w:val="uk-UA"/>
        </w:rPr>
        <w:t>рогр</w:t>
      </w:r>
      <w:r w:rsidR="00187611">
        <w:rPr>
          <w:sz w:val="28"/>
          <w:szCs w:val="28"/>
          <w:lang w:val="uk-UA"/>
        </w:rPr>
        <w:t>ами покладається на</w:t>
      </w:r>
      <w:r w:rsidR="00A03406">
        <w:rPr>
          <w:sz w:val="28"/>
          <w:szCs w:val="28"/>
          <w:lang w:val="uk-UA"/>
        </w:rPr>
        <w:t xml:space="preserve"> комунальне підприємство</w:t>
      </w:r>
      <w:r w:rsidR="00036FE2">
        <w:rPr>
          <w:sz w:val="28"/>
          <w:szCs w:val="28"/>
          <w:lang w:val="uk-UA"/>
        </w:rPr>
        <w:t xml:space="preserve"> по експлуатації </w:t>
      </w:r>
      <w:proofErr w:type="spellStart"/>
      <w:r w:rsidR="00036FE2">
        <w:rPr>
          <w:sz w:val="28"/>
          <w:szCs w:val="28"/>
          <w:lang w:val="uk-UA"/>
        </w:rPr>
        <w:t>адмінбудинків</w:t>
      </w:r>
      <w:proofErr w:type="spellEnd"/>
      <w:r w:rsidR="00036FE2">
        <w:rPr>
          <w:sz w:val="28"/>
          <w:szCs w:val="28"/>
          <w:lang w:val="uk-UA"/>
        </w:rPr>
        <w:t xml:space="preserve"> Житомирської обласної ради</w:t>
      </w:r>
      <w:r w:rsidR="004617DA">
        <w:rPr>
          <w:sz w:val="28"/>
          <w:szCs w:val="28"/>
          <w:lang w:val="uk-UA"/>
        </w:rPr>
        <w:t>.</w:t>
      </w:r>
    </w:p>
    <w:p w14:paraId="02DB8DC6" w14:textId="77777777" w:rsidR="004D4237" w:rsidRDefault="00D636EE" w:rsidP="00AC0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611">
        <w:rPr>
          <w:sz w:val="28"/>
          <w:szCs w:val="28"/>
          <w:lang w:val="uk-UA"/>
        </w:rPr>
        <w:t>Комунальне підприємство</w:t>
      </w:r>
      <w:r w:rsidR="00880D49">
        <w:rPr>
          <w:sz w:val="28"/>
          <w:szCs w:val="28"/>
          <w:lang w:val="uk-UA"/>
        </w:rPr>
        <w:t xml:space="preserve"> по експлуатації </w:t>
      </w:r>
      <w:proofErr w:type="spellStart"/>
      <w:r w:rsidR="00880D49">
        <w:rPr>
          <w:sz w:val="28"/>
          <w:szCs w:val="28"/>
          <w:lang w:val="uk-UA"/>
        </w:rPr>
        <w:t>адмінбудинків</w:t>
      </w:r>
      <w:proofErr w:type="spellEnd"/>
      <w:r w:rsidR="00880D49">
        <w:rPr>
          <w:sz w:val="28"/>
          <w:szCs w:val="28"/>
          <w:lang w:val="uk-UA"/>
        </w:rPr>
        <w:t xml:space="preserve"> Житомирської обласної ради</w:t>
      </w:r>
      <w:r w:rsidR="00187611">
        <w:rPr>
          <w:sz w:val="28"/>
          <w:szCs w:val="28"/>
          <w:lang w:val="uk-UA"/>
        </w:rPr>
        <w:t xml:space="preserve">, </w:t>
      </w:r>
      <w:r w:rsidR="00D849EC">
        <w:rPr>
          <w:sz w:val="28"/>
          <w:szCs w:val="28"/>
          <w:lang w:val="uk-UA"/>
        </w:rPr>
        <w:t xml:space="preserve"> </w:t>
      </w:r>
      <w:r w:rsidR="00187611">
        <w:rPr>
          <w:sz w:val="28"/>
          <w:szCs w:val="28"/>
          <w:lang w:val="uk-UA"/>
        </w:rPr>
        <w:t>я</w:t>
      </w:r>
      <w:r w:rsidR="00755EE4">
        <w:rPr>
          <w:sz w:val="28"/>
          <w:szCs w:val="28"/>
          <w:lang w:val="uk-UA"/>
        </w:rPr>
        <w:t>к відповідальний</w:t>
      </w:r>
      <w:r w:rsidR="00D849EC">
        <w:rPr>
          <w:sz w:val="28"/>
          <w:szCs w:val="28"/>
          <w:lang w:val="uk-UA"/>
        </w:rPr>
        <w:t xml:space="preserve"> </w:t>
      </w:r>
      <w:r w:rsidR="00755EE4">
        <w:rPr>
          <w:sz w:val="28"/>
          <w:szCs w:val="28"/>
          <w:lang w:val="uk-UA"/>
        </w:rPr>
        <w:t xml:space="preserve"> виконавець</w:t>
      </w:r>
      <w:r w:rsidR="00D849EC">
        <w:rPr>
          <w:sz w:val="28"/>
          <w:szCs w:val="28"/>
          <w:lang w:val="uk-UA"/>
        </w:rPr>
        <w:t xml:space="preserve"> </w:t>
      </w:r>
      <w:r w:rsidR="00755EE4">
        <w:rPr>
          <w:sz w:val="28"/>
          <w:szCs w:val="28"/>
          <w:lang w:val="uk-UA"/>
        </w:rPr>
        <w:t xml:space="preserve"> П</w:t>
      </w:r>
      <w:r w:rsidR="00187611">
        <w:rPr>
          <w:sz w:val="28"/>
          <w:szCs w:val="28"/>
          <w:lang w:val="uk-UA"/>
        </w:rPr>
        <w:t>рограми,</w:t>
      </w:r>
      <w:r>
        <w:rPr>
          <w:sz w:val="28"/>
          <w:szCs w:val="28"/>
          <w:lang w:val="uk-UA"/>
        </w:rPr>
        <w:t xml:space="preserve"> </w:t>
      </w:r>
      <w:r w:rsidR="00187611">
        <w:rPr>
          <w:sz w:val="28"/>
          <w:szCs w:val="28"/>
          <w:lang w:val="uk-UA"/>
        </w:rPr>
        <w:t xml:space="preserve">один раз </w:t>
      </w:r>
      <w:r w:rsidR="00D849EC">
        <w:rPr>
          <w:sz w:val="28"/>
          <w:szCs w:val="28"/>
          <w:lang w:val="uk-UA"/>
        </w:rPr>
        <w:t xml:space="preserve"> </w:t>
      </w:r>
      <w:r w:rsidR="00187611">
        <w:rPr>
          <w:sz w:val="28"/>
          <w:szCs w:val="28"/>
          <w:lang w:val="uk-UA"/>
        </w:rPr>
        <w:t>у</w:t>
      </w:r>
      <w:r w:rsidR="00D849EC">
        <w:rPr>
          <w:sz w:val="28"/>
          <w:szCs w:val="28"/>
          <w:lang w:val="uk-UA"/>
        </w:rPr>
        <w:t xml:space="preserve"> </w:t>
      </w:r>
      <w:r w:rsidR="00251890">
        <w:rPr>
          <w:sz w:val="28"/>
          <w:szCs w:val="28"/>
          <w:lang w:val="uk-UA"/>
        </w:rPr>
        <w:t xml:space="preserve"> рік до </w:t>
      </w:r>
      <w:r w:rsidR="00D849EC">
        <w:rPr>
          <w:sz w:val="28"/>
          <w:szCs w:val="28"/>
          <w:lang w:val="uk-UA"/>
        </w:rPr>
        <w:t xml:space="preserve">    </w:t>
      </w:r>
      <w:r w:rsidR="00251890">
        <w:rPr>
          <w:sz w:val="28"/>
          <w:szCs w:val="28"/>
          <w:lang w:val="uk-UA"/>
        </w:rPr>
        <w:t>1 березня пода</w:t>
      </w:r>
      <w:r w:rsidR="00793D00">
        <w:rPr>
          <w:sz w:val="28"/>
          <w:szCs w:val="28"/>
          <w:lang w:val="uk-UA"/>
        </w:rPr>
        <w:t xml:space="preserve">є </w:t>
      </w:r>
      <w:r w:rsidR="00880D49">
        <w:rPr>
          <w:sz w:val="28"/>
          <w:szCs w:val="28"/>
          <w:lang w:val="uk-UA"/>
        </w:rPr>
        <w:t>в обласну раду</w:t>
      </w:r>
      <w:r w:rsidR="00251890">
        <w:rPr>
          <w:sz w:val="28"/>
          <w:szCs w:val="28"/>
          <w:lang w:val="uk-UA"/>
        </w:rPr>
        <w:t xml:space="preserve"> узагал</w:t>
      </w:r>
      <w:r w:rsidR="00A03406">
        <w:rPr>
          <w:sz w:val="28"/>
          <w:szCs w:val="28"/>
          <w:lang w:val="uk-UA"/>
        </w:rPr>
        <w:t>ьнену інформацію щодо</w:t>
      </w:r>
      <w:r w:rsidR="00755EE4">
        <w:rPr>
          <w:sz w:val="28"/>
          <w:szCs w:val="28"/>
          <w:lang w:val="uk-UA"/>
        </w:rPr>
        <w:t xml:space="preserve"> виконання </w:t>
      </w:r>
      <w:r w:rsidR="00880D49">
        <w:rPr>
          <w:sz w:val="28"/>
          <w:szCs w:val="28"/>
          <w:lang w:val="uk-UA"/>
        </w:rPr>
        <w:t xml:space="preserve">заходів </w:t>
      </w:r>
      <w:r w:rsidR="00755EE4">
        <w:rPr>
          <w:sz w:val="28"/>
          <w:szCs w:val="28"/>
          <w:lang w:val="uk-UA"/>
        </w:rPr>
        <w:t>П</w:t>
      </w:r>
      <w:r w:rsidR="00251890">
        <w:rPr>
          <w:sz w:val="28"/>
          <w:szCs w:val="28"/>
          <w:lang w:val="uk-UA"/>
        </w:rPr>
        <w:t>рограми</w:t>
      </w:r>
      <w:r w:rsidR="00880D49">
        <w:rPr>
          <w:sz w:val="28"/>
          <w:szCs w:val="28"/>
          <w:lang w:val="uk-UA"/>
        </w:rPr>
        <w:t>.</w:t>
      </w:r>
    </w:p>
    <w:p w14:paraId="3BDA9F86" w14:textId="77777777" w:rsidR="003E7CAD" w:rsidRDefault="003E7CAD" w:rsidP="00AC0E14">
      <w:pPr>
        <w:jc w:val="both"/>
        <w:rPr>
          <w:sz w:val="28"/>
          <w:szCs w:val="28"/>
          <w:lang w:val="uk-UA"/>
        </w:rPr>
      </w:pPr>
    </w:p>
    <w:p w14:paraId="4D26B32B" w14:textId="77777777" w:rsidR="00880D49" w:rsidRDefault="00412CF9" w:rsidP="00AC0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9F3B91">
        <w:rPr>
          <w:sz w:val="28"/>
          <w:szCs w:val="28"/>
          <w:lang w:val="uk-UA"/>
        </w:rPr>
        <w:t xml:space="preserve">аступник </w:t>
      </w:r>
    </w:p>
    <w:p w14:paraId="60B46125" w14:textId="77777777" w:rsidR="00956A10" w:rsidRDefault="00DB332A" w:rsidP="00AC0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</w:t>
      </w:r>
      <w:r w:rsidR="00880D49">
        <w:rPr>
          <w:sz w:val="28"/>
          <w:szCs w:val="28"/>
          <w:lang w:val="uk-UA"/>
        </w:rPr>
        <w:t>асної ради</w:t>
      </w:r>
      <w:r w:rsidR="00880D49">
        <w:rPr>
          <w:sz w:val="28"/>
          <w:szCs w:val="28"/>
          <w:lang w:val="uk-UA"/>
        </w:rPr>
        <w:tab/>
      </w:r>
      <w:r w:rsidR="00880D49">
        <w:rPr>
          <w:sz w:val="28"/>
          <w:szCs w:val="28"/>
          <w:lang w:val="uk-UA"/>
        </w:rPr>
        <w:tab/>
      </w:r>
      <w:r w:rsidR="00880D49">
        <w:rPr>
          <w:sz w:val="28"/>
          <w:szCs w:val="28"/>
          <w:lang w:val="uk-UA"/>
        </w:rPr>
        <w:tab/>
      </w:r>
      <w:r w:rsidR="00880D49">
        <w:rPr>
          <w:sz w:val="28"/>
          <w:szCs w:val="28"/>
          <w:lang w:val="uk-UA"/>
        </w:rPr>
        <w:tab/>
      </w:r>
      <w:r w:rsidR="00880D49">
        <w:rPr>
          <w:sz w:val="28"/>
          <w:szCs w:val="28"/>
          <w:lang w:val="uk-UA"/>
        </w:rPr>
        <w:tab/>
      </w:r>
      <w:r w:rsidR="00880D49">
        <w:rPr>
          <w:sz w:val="28"/>
          <w:szCs w:val="28"/>
          <w:lang w:val="uk-UA"/>
        </w:rPr>
        <w:tab/>
      </w:r>
      <w:r w:rsidR="00880D49">
        <w:rPr>
          <w:sz w:val="28"/>
          <w:szCs w:val="28"/>
          <w:lang w:val="uk-UA"/>
        </w:rPr>
        <w:tab/>
      </w:r>
      <w:r w:rsidR="00193570">
        <w:rPr>
          <w:sz w:val="28"/>
          <w:szCs w:val="28"/>
          <w:lang w:val="uk-UA"/>
        </w:rPr>
        <w:t xml:space="preserve">         </w:t>
      </w:r>
      <w:r w:rsidR="0068327C">
        <w:rPr>
          <w:sz w:val="28"/>
          <w:szCs w:val="28"/>
          <w:lang w:val="uk-UA"/>
        </w:rPr>
        <w:t>О.М. Дзюбенко</w:t>
      </w:r>
      <w:r w:rsidR="00193570">
        <w:rPr>
          <w:sz w:val="28"/>
          <w:szCs w:val="28"/>
          <w:lang w:val="uk-UA"/>
        </w:rPr>
        <w:t xml:space="preserve"> </w:t>
      </w:r>
    </w:p>
    <w:p w14:paraId="02FFB132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263D7C18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1FCE6FA7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4D9E165C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44CCA635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7A111079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7BB1EE42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740E675D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67A051B2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0C6AFDB2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7F935BF1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533B3B4A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225E60C6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19B34C12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p w14:paraId="0E7A149A" w14:textId="77777777" w:rsidR="003B3046" w:rsidRDefault="003B3046" w:rsidP="00AC0E14">
      <w:pPr>
        <w:jc w:val="both"/>
        <w:rPr>
          <w:sz w:val="28"/>
          <w:szCs w:val="28"/>
          <w:lang w:val="uk-UA"/>
        </w:rPr>
      </w:pPr>
    </w:p>
    <w:sectPr w:rsidR="003B3046" w:rsidSect="004E364E">
      <w:headerReference w:type="even" r:id="rId8"/>
      <w:headerReference w:type="default" r:id="rId9"/>
      <w:headerReference w:type="firs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9FD65" w14:textId="77777777" w:rsidR="00D6588A" w:rsidRDefault="00D6588A">
      <w:r>
        <w:separator/>
      </w:r>
    </w:p>
  </w:endnote>
  <w:endnote w:type="continuationSeparator" w:id="0">
    <w:p w14:paraId="1461F009" w14:textId="77777777" w:rsidR="00D6588A" w:rsidRDefault="00D6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050C" w14:textId="77777777" w:rsidR="00D6588A" w:rsidRDefault="00D6588A">
      <w:r>
        <w:separator/>
      </w:r>
    </w:p>
  </w:footnote>
  <w:footnote w:type="continuationSeparator" w:id="0">
    <w:p w14:paraId="7B5C1809" w14:textId="77777777" w:rsidR="00D6588A" w:rsidRDefault="00D6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86AF" w14:textId="77777777" w:rsidR="005967E6" w:rsidRDefault="005967E6" w:rsidP="005967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C5D0EC" w14:textId="77777777" w:rsidR="005967E6" w:rsidRDefault="005967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4A8B" w14:textId="77777777" w:rsidR="00FF72B2" w:rsidRDefault="00FF72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695">
      <w:rPr>
        <w:noProof/>
      </w:rPr>
      <w:t>2</w:t>
    </w:r>
    <w:r>
      <w:fldChar w:fldCharType="end"/>
    </w:r>
  </w:p>
  <w:p w14:paraId="113A8C84" w14:textId="77777777" w:rsidR="00412CF9" w:rsidRPr="00412CF9" w:rsidRDefault="00412CF9" w:rsidP="00412CF9">
    <w:pPr>
      <w:pStyle w:val="a4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45F8" w14:textId="77777777" w:rsidR="00412CF9" w:rsidRPr="00412CF9" w:rsidRDefault="00412CF9">
    <w:pPr>
      <w:pStyle w:val="a4"/>
      <w:jc w:val="center"/>
      <w:rPr>
        <w:lang w:val="uk-UA"/>
      </w:rPr>
    </w:pPr>
  </w:p>
  <w:p w14:paraId="43C342F0" w14:textId="77777777" w:rsidR="00412CF9" w:rsidRDefault="00412C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1AD"/>
    <w:multiLevelType w:val="singleLevel"/>
    <w:tmpl w:val="50ECC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987821"/>
    <w:multiLevelType w:val="hybridMultilevel"/>
    <w:tmpl w:val="4A1C6834"/>
    <w:lvl w:ilvl="0" w:tplc="0102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0FE7"/>
    <w:multiLevelType w:val="hybridMultilevel"/>
    <w:tmpl w:val="4A1C6834"/>
    <w:lvl w:ilvl="0" w:tplc="0102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B0E80"/>
    <w:multiLevelType w:val="hybridMultilevel"/>
    <w:tmpl w:val="F92CB06E"/>
    <w:lvl w:ilvl="0" w:tplc="CEC287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F02DA0"/>
    <w:multiLevelType w:val="hybridMultilevel"/>
    <w:tmpl w:val="3B2686D6"/>
    <w:lvl w:ilvl="0" w:tplc="CB5283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16F62"/>
    <w:multiLevelType w:val="hybridMultilevel"/>
    <w:tmpl w:val="4A1C6834"/>
    <w:lvl w:ilvl="0" w:tplc="0102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E561A"/>
    <w:multiLevelType w:val="hybridMultilevel"/>
    <w:tmpl w:val="0DA24080"/>
    <w:lvl w:ilvl="0" w:tplc="316424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6C49B1"/>
    <w:multiLevelType w:val="hybridMultilevel"/>
    <w:tmpl w:val="D226A1CA"/>
    <w:lvl w:ilvl="0" w:tplc="49826AFC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3D510BD5"/>
    <w:multiLevelType w:val="hybridMultilevel"/>
    <w:tmpl w:val="4A1C6834"/>
    <w:lvl w:ilvl="0" w:tplc="0102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E6C72"/>
    <w:multiLevelType w:val="hybridMultilevel"/>
    <w:tmpl w:val="62FE3F10"/>
    <w:lvl w:ilvl="0" w:tplc="E82430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B776C"/>
    <w:multiLevelType w:val="hybridMultilevel"/>
    <w:tmpl w:val="8B1E6042"/>
    <w:lvl w:ilvl="0" w:tplc="64FEF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DA7E8A"/>
    <w:multiLevelType w:val="hybridMultilevel"/>
    <w:tmpl w:val="B082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7728"/>
    <w:multiLevelType w:val="hybridMultilevel"/>
    <w:tmpl w:val="8C02ACF4"/>
    <w:lvl w:ilvl="0" w:tplc="6070FD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32586"/>
    <w:multiLevelType w:val="hybridMultilevel"/>
    <w:tmpl w:val="4A1C6834"/>
    <w:lvl w:ilvl="0" w:tplc="0102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910CE"/>
    <w:multiLevelType w:val="hybridMultilevel"/>
    <w:tmpl w:val="62FE3F10"/>
    <w:lvl w:ilvl="0" w:tplc="E82430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5F0939"/>
    <w:multiLevelType w:val="hybridMultilevel"/>
    <w:tmpl w:val="DDA826C6"/>
    <w:lvl w:ilvl="0" w:tplc="84866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FD"/>
    <w:rsid w:val="0002038D"/>
    <w:rsid w:val="00023270"/>
    <w:rsid w:val="00036FE2"/>
    <w:rsid w:val="00040DC8"/>
    <w:rsid w:val="000458E6"/>
    <w:rsid w:val="0005543E"/>
    <w:rsid w:val="00060DE0"/>
    <w:rsid w:val="00060E47"/>
    <w:rsid w:val="00076552"/>
    <w:rsid w:val="00076B8C"/>
    <w:rsid w:val="00086FE0"/>
    <w:rsid w:val="00093F37"/>
    <w:rsid w:val="00095A39"/>
    <w:rsid w:val="000A327A"/>
    <w:rsid w:val="000B0AB9"/>
    <w:rsid w:val="000B77CD"/>
    <w:rsid w:val="000C03DB"/>
    <w:rsid w:val="000C48B5"/>
    <w:rsid w:val="000E5B8A"/>
    <w:rsid w:val="000F3EAB"/>
    <w:rsid w:val="00111960"/>
    <w:rsid w:val="001142C1"/>
    <w:rsid w:val="00125826"/>
    <w:rsid w:val="00131A7C"/>
    <w:rsid w:val="00144A90"/>
    <w:rsid w:val="001462E0"/>
    <w:rsid w:val="001521C2"/>
    <w:rsid w:val="001530D7"/>
    <w:rsid w:val="00164F5E"/>
    <w:rsid w:val="00186A89"/>
    <w:rsid w:val="00186FE9"/>
    <w:rsid w:val="00187611"/>
    <w:rsid w:val="00193570"/>
    <w:rsid w:val="001A3FAF"/>
    <w:rsid w:val="001A7C2F"/>
    <w:rsid w:val="001B142A"/>
    <w:rsid w:val="001C004F"/>
    <w:rsid w:val="001C02E0"/>
    <w:rsid w:val="001C0B2F"/>
    <w:rsid w:val="001C2233"/>
    <w:rsid w:val="001C4DD2"/>
    <w:rsid w:val="001E3962"/>
    <w:rsid w:val="001E47EC"/>
    <w:rsid w:val="001E5DB8"/>
    <w:rsid w:val="001F4B9C"/>
    <w:rsid w:val="00203B28"/>
    <w:rsid w:val="00205FBC"/>
    <w:rsid w:val="00206BED"/>
    <w:rsid w:val="00207695"/>
    <w:rsid w:val="0021363D"/>
    <w:rsid w:val="002177C9"/>
    <w:rsid w:val="00232636"/>
    <w:rsid w:val="00232667"/>
    <w:rsid w:val="00232BC0"/>
    <w:rsid w:val="00233BCD"/>
    <w:rsid w:val="00234E91"/>
    <w:rsid w:val="00241078"/>
    <w:rsid w:val="00242E65"/>
    <w:rsid w:val="00251890"/>
    <w:rsid w:val="00252ACA"/>
    <w:rsid w:val="00261C71"/>
    <w:rsid w:val="002633AE"/>
    <w:rsid w:val="00264B34"/>
    <w:rsid w:val="00267E7E"/>
    <w:rsid w:val="002725BA"/>
    <w:rsid w:val="002738B5"/>
    <w:rsid w:val="00277A5C"/>
    <w:rsid w:val="002814D2"/>
    <w:rsid w:val="00281549"/>
    <w:rsid w:val="00286816"/>
    <w:rsid w:val="00287E6F"/>
    <w:rsid w:val="00292B26"/>
    <w:rsid w:val="002937A1"/>
    <w:rsid w:val="00295C8C"/>
    <w:rsid w:val="00295D80"/>
    <w:rsid w:val="0029774A"/>
    <w:rsid w:val="00297C87"/>
    <w:rsid w:val="002A651F"/>
    <w:rsid w:val="002A713D"/>
    <w:rsid w:val="002B0D43"/>
    <w:rsid w:val="002B3C5E"/>
    <w:rsid w:val="002C53F2"/>
    <w:rsid w:val="002D4970"/>
    <w:rsid w:val="002D6A1A"/>
    <w:rsid w:val="002E0DC7"/>
    <w:rsid w:val="002F05B8"/>
    <w:rsid w:val="002F3AB6"/>
    <w:rsid w:val="002F665A"/>
    <w:rsid w:val="003013B8"/>
    <w:rsid w:val="003058E4"/>
    <w:rsid w:val="00305DDB"/>
    <w:rsid w:val="00306556"/>
    <w:rsid w:val="00310CC3"/>
    <w:rsid w:val="00323F64"/>
    <w:rsid w:val="003320AD"/>
    <w:rsid w:val="00350908"/>
    <w:rsid w:val="003565EA"/>
    <w:rsid w:val="0035734B"/>
    <w:rsid w:val="003637EE"/>
    <w:rsid w:val="00372A23"/>
    <w:rsid w:val="00372C4F"/>
    <w:rsid w:val="003738AA"/>
    <w:rsid w:val="00377A7D"/>
    <w:rsid w:val="00382B6A"/>
    <w:rsid w:val="003A1DB7"/>
    <w:rsid w:val="003B0106"/>
    <w:rsid w:val="003B3046"/>
    <w:rsid w:val="003B3E23"/>
    <w:rsid w:val="003D623A"/>
    <w:rsid w:val="003D7DDE"/>
    <w:rsid w:val="003E1911"/>
    <w:rsid w:val="003E54BF"/>
    <w:rsid w:val="003E7CAD"/>
    <w:rsid w:val="003F2168"/>
    <w:rsid w:val="003F3DDF"/>
    <w:rsid w:val="003F7390"/>
    <w:rsid w:val="003F7B89"/>
    <w:rsid w:val="00412CF9"/>
    <w:rsid w:val="004174FD"/>
    <w:rsid w:val="004225AB"/>
    <w:rsid w:val="0043217A"/>
    <w:rsid w:val="00433033"/>
    <w:rsid w:val="004361A2"/>
    <w:rsid w:val="00443A03"/>
    <w:rsid w:val="00447F41"/>
    <w:rsid w:val="00451475"/>
    <w:rsid w:val="00455788"/>
    <w:rsid w:val="00456FE5"/>
    <w:rsid w:val="00457887"/>
    <w:rsid w:val="004617DA"/>
    <w:rsid w:val="004618AF"/>
    <w:rsid w:val="00461FED"/>
    <w:rsid w:val="00471B8E"/>
    <w:rsid w:val="00473AB2"/>
    <w:rsid w:val="0048761B"/>
    <w:rsid w:val="004A0769"/>
    <w:rsid w:val="004A1FFD"/>
    <w:rsid w:val="004B65D0"/>
    <w:rsid w:val="004C6A22"/>
    <w:rsid w:val="004D4237"/>
    <w:rsid w:val="004D7E47"/>
    <w:rsid w:val="004E039E"/>
    <w:rsid w:val="004E364E"/>
    <w:rsid w:val="004E7F67"/>
    <w:rsid w:val="004F4A3A"/>
    <w:rsid w:val="004F54FB"/>
    <w:rsid w:val="0050014A"/>
    <w:rsid w:val="00501426"/>
    <w:rsid w:val="0052344F"/>
    <w:rsid w:val="00526803"/>
    <w:rsid w:val="00546E79"/>
    <w:rsid w:val="0054767C"/>
    <w:rsid w:val="005551BB"/>
    <w:rsid w:val="00556BC5"/>
    <w:rsid w:val="00560BA6"/>
    <w:rsid w:val="0056376D"/>
    <w:rsid w:val="00563E47"/>
    <w:rsid w:val="00566A5D"/>
    <w:rsid w:val="0056751D"/>
    <w:rsid w:val="00567A8A"/>
    <w:rsid w:val="005719B1"/>
    <w:rsid w:val="00581EC8"/>
    <w:rsid w:val="00592620"/>
    <w:rsid w:val="005967E6"/>
    <w:rsid w:val="005A03A6"/>
    <w:rsid w:val="005B06F0"/>
    <w:rsid w:val="005B317A"/>
    <w:rsid w:val="005B7C36"/>
    <w:rsid w:val="005C7E13"/>
    <w:rsid w:val="005E4424"/>
    <w:rsid w:val="005E4B31"/>
    <w:rsid w:val="005E4EF1"/>
    <w:rsid w:val="005E67CC"/>
    <w:rsid w:val="00601B9F"/>
    <w:rsid w:val="00612C25"/>
    <w:rsid w:val="006250D9"/>
    <w:rsid w:val="00626731"/>
    <w:rsid w:val="00633D65"/>
    <w:rsid w:val="006454F9"/>
    <w:rsid w:val="006468F0"/>
    <w:rsid w:val="006471A7"/>
    <w:rsid w:val="00655721"/>
    <w:rsid w:val="0066377B"/>
    <w:rsid w:val="0066413D"/>
    <w:rsid w:val="006732EF"/>
    <w:rsid w:val="00676A8C"/>
    <w:rsid w:val="0068327C"/>
    <w:rsid w:val="00687491"/>
    <w:rsid w:val="00693EE9"/>
    <w:rsid w:val="006966A4"/>
    <w:rsid w:val="0069738C"/>
    <w:rsid w:val="006B199C"/>
    <w:rsid w:val="006C27F3"/>
    <w:rsid w:val="006C5F05"/>
    <w:rsid w:val="006D19C5"/>
    <w:rsid w:val="006D1FB1"/>
    <w:rsid w:val="006D7651"/>
    <w:rsid w:val="00705F77"/>
    <w:rsid w:val="00710CA5"/>
    <w:rsid w:val="007329F2"/>
    <w:rsid w:val="007368D8"/>
    <w:rsid w:val="0074357F"/>
    <w:rsid w:val="00755EE4"/>
    <w:rsid w:val="00760490"/>
    <w:rsid w:val="00764530"/>
    <w:rsid w:val="0076660A"/>
    <w:rsid w:val="00772066"/>
    <w:rsid w:val="00781189"/>
    <w:rsid w:val="00793D00"/>
    <w:rsid w:val="0079767E"/>
    <w:rsid w:val="007A0F3F"/>
    <w:rsid w:val="007A378E"/>
    <w:rsid w:val="007A58D2"/>
    <w:rsid w:val="007C2A63"/>
    <w:rsid w:val="007C3374"/>
    <w:rsid w:val="007C781E"/>
    <w:rsid w:val="007C79F9"/>
    <w:rsid w:val="007D29A8"/>
    <w:rsid w:val="007D3C3A"/>
    <w:rsid w:val="007D71DE"/>
    <w:rsid w:val="007E1BAF"/>
    <w:rsid w:val="007F7C67"/>
    <w:rsid w:val="00800B1C"/>
    <w:rsid w:val="008234F6"/>
    <w:rsid w:val="00830195"/>
    <w:rsid w:val="00833894"/>
    <w:rsid w:val="00855565"/>
    <w:rsid w:val="00880D49"/>
    <w:rsid w:val="00883AA3"/>
    <w:rsid w:val="00894201"/>
    <w:rsid w:val="008C2B7A"/>
    <w:rsid w:val="008C48E1"/>
    <w:rsid w:val="008C5EE9"/>
    <w:rsid w:val="008D3012"/>
    <w:rsid w:val="008D787B"/>
    <w:rsid w:val="008E58E5"/>
    <w:rsid w:val="008F40B1"/>
    <w:rsid w:val="008F62CB"/>
    <w:rsid w:val="00902C2C"/>
    <w:rsid w:val="009113A6"/>
    <w:rsid w:val="00911ABA"/>
    <w:rsid w:val="00922BA6"/>
    <w:rsid w:val="00924EEE"/>
    <w:rsid w:val="00934C12"/>
    <w:rsid w:val="0093654D"/>
    <w:rsid w:val="00936A64"/>
    <w:rsid w:val="00941B96"/>
    <w:rsid w:val="0095472E"/>
    <w:rsid w:val="009559B1"/>
    <w:rsid w:val="009568CD"/>
    <w:rsid w:val="009568F3"/>
    <w:rsid w:val="00956A10"/>
    <w:rsid w:val="00971375"/>
    <w:rsid w:val="00997A06"/>
    <w:rsid w:val="009A43DD"/>
    <w:rsid w:val="009A695E"/>
    <w:rsid w:val="009C1785"/>
    <w:rsid w:val="009C3CC8"/>
    <w:rsid w:val="009C44EA"/>
    <w:rsid w:val="009C51AE"/>
    <w:rsid w:val="009E342A"/>
    <w:rsid w:val="009F3B91"/>
    <w:rsid w:val="009F5754"/>
    <w:rsid w:val="00A03406"/>
    <w:rsid w:val="00A043D1"/>
    <w:rsid w:val="00A05F53"/>
    <w:rsid w:val="00A10049"/>
    <w:rsid w:val="00A27767"/>
    <w:rsid w:val="00A34D9F"/>
    <w:rsid w:val="00A360F2"/>
    <w:rsid w:val="00A4799F"/>
    <w:rsid w:val="00A52427"/>
    <w:rsid w:val="00A524CF"/>
    <w:rsid w:val="00A546F6"/>
    <w:rsid w:val="00A743D1"/>
    <w:rsid w:val="00A93F1F"/>
    <w:rsid w:val="00AB055A"/>
    <w:rsid w:val="00AB0973"/>
    <w:rsid w:val="00AB345A"/>
    <w:rsid w:val="00AB3F8C"/>
    <w:rsid w:val="00AB5B9B"/>
    <w:rsid w:val="00AC0C7E"/>
    <w:rsid w:val="00AC0E14"/>
    <w:rsid w:val="00AC2B2E"/>
    <w:rsid w:val="00AC4A60"/>
    <w:rsid w:val="00AD69B7"/>
    <w:rsid w:val="00AE52CB"/>
    <w:rsid w:val="00B10242"/>
    <w:rsid w:val="00B30350"/>
    <w:rsid w:val="00B30E92"/>
    <w:rsid w:val="00B47766"/>
    <w:rsid w:val="00B51D3F"/>
    <w:rsid w:val="00B571FB"/>
    <w:rsid w:val="00B60E0E"/>
    <w:rsid w:val="00B61600"/>
    <w:rsid w:val="00B621EB"/>
    <w:rsid w:val="00B7093C"/>
    <w:rsid w:val="00B81745"/>
    <w:rsid w:val="00B834D0"/>
    <w:rsid w:val="00B85E95"/>
    <w:rsid w:val="00B8638E"/>
    <w:rsid w:val="00BB0652"/>
    <w:rsid w:val="00BB1CA3"/>
    <w:rsid w:val="00BB4F70"/>
    <w:rsid w:val="00BC0AC2"/>
    <w:rsid w:val="00BC3E53"/>
    <w:rsid w:val="00BC79DC"/>
    <w:rsid w:val="00BD361B"/>
    <w:rsid w:val="00BD5736"/>
    <w:rsid w:val="00BE32DA"/>
    <w:rsid w:val="00BE3330"/>
    <w:rsid w:val="00BE35BB"/>
    <w:rsid w:val="00BE734B"/>
    <w:rsid w:val="00BE7ED1"/>
    <w:rsid w:val="00BF04BF"/>
    <w:rsid w:val="00BF06E3"/>
    <w:rsid w:val="00C21C08"/>
    <w:rsid w:val="00C26C25"/>
    <w:rsid w:val="00C32E61"/>
    <w:rsid w:val="00C42468"/>
    <w:rsid w:val="00C513CC"/>
    <w:rsid w:val="00C65162"/>
    <w:rsid w:val="00C82443"/>
    <w:rsid w:val="00C85DE8"/>
    <w:rsid w:val="00C92617"/>
    <w:rsid w:val="00CA0A51"/>
    <w:rsid w:val="00CA7591"/>
    <w:rsid w:val="00CC273E"/>
    <w:rsid w:val="00CD7DAC"/>
    <w:rsid w:val="00CE10AE"/>
    <w:rsid w:val="00CE1868"/>
    <w:rsid w:val="00CE30B5"/>
    <w:rsid w:val="00CF1C4A"/>
    <w:rsid w:val="00CF6679"/>
    <w:rsid w:val="00D012BE"/>
    <w:rsid w:val="00D17022"/>
    <w:rsid w:val="00D24718"/>
    <w:rsid w:val="00D2779B"/>
    <w:rsid w:val="00D31800"/>
    <w:rsid w:val="00D41594"/>
    <w:rsid w:val="00D42A9F"/>
    <w:rsid w:val="00D62A66"/>
    <w:rsid w:val="00D636EE"/>
    <w:rsid w:val="00D6588A"/>
    <w:rsid w:val="00D66AA8"/>
    <w:rsid w:val="00D67538"/>
    <w:rsid w:val="00D7275D"/>
    <w:rsid w:val="00D757D6"/>
    <w:rsid w:val="00D849EC"/>
    <w:rsid w:val="00D8625E"/>
    <w:rsid w:val="00D95488"/>
    <w:rsid w:val="00DA34F8"/>
    <w:rsid w:val="00DA7693"/>
    <w:rsid w:val="00DB332A"/>
    <w:rsid w:val="00DC1A6A"/>
    <w:rsid w:val="00DC2B0F"/>
    <w:rsid w:val="00DD15F8"/>
    <w:rsid w:val="00DD4B10"/>
    <w:rsid w:val="00DE6600"/>
    <w:rsid w:val="00DE7737"/>
    <w:rsid w:val="00E04957"/>
    <w:rsid w:val="00E07AEB"/>
    <w:rsid w:val="00E129D5"/>
    <w:rsid w:val="00E15CF0"/>
    <w:rsid w:val="00E17D0D"/>
    <w:rsid w:val="00E21F1E"/>
    <w:rsid w:val="00E32782"/>
    <w:rsid w:val="00E52969"/>
    <w:rsid w:val="00E61644"/>
    <w:rsid w:val="00E80024"/>
    <w:rsid w:val="00E85808"/>
    <w:rsid w:val="00E95DB7"/>
    <w:rsid w:val="00EA7DBD"/>
    <w:rsid w:val="00EB0FC8"/>
    <w:rsid w:val="00EB1D25"/>
    <w:rsid w:val="00EB3A7B"/>
    <w:rsid w:val="00EB4911"/>
    <w:rsid w:val="00EC168E"/>
    <w:rsid w:val="00EC7846"/>
    <w:rsid w:val="00ED163E"/>
    <w:rsid w:val="00ED2324"/>
    <w:rsid w:val="00ED6D4C"/>
    <w:rsid w:val="00EE1B2C"/>
    <w:rsid w:val="00EE4C25"/>
    <w:rsid w:val="00EE67AC"/>
    <w:rsid w:val="00EF74B0"/>
    <w:rsid w:val="00F01D15"/>
    <w:rsid w:val="00F05E6E"/>
    <w:rsid w:val="00F20FCD"/>
    <w:rsid w:val="00F21214"/>
    <w:rsid w:val="00F236CC"/>
    <w:rsid w:val="00F353F1"/>
    <w:rsid w:val="00F418AA"/>
    <w:rsid w:val="00F501F2"/>
    <w:rsid w:val="00F5333E"/>
    <w:rsid w:val="00F7344A"/>
    <w:rsid w:val="00F74066"/>
    <w:rsid w:val="00F80592"/>
    <w:rsid w:val="00F82FB4"/>
    <w:rsid w:val="00F8509C"/>
    <w:rsid w:val="00FA1936"/>
    <w:rsid w:val="00FA330C"/>
    <w:rsid w:val="00FA74EC"/>
    <w:rsid w:val="00FB707F"/>
    <w:rsid w:val="00FC1F5E"/>
    <w:rsid w:val="00FD277E"/>
    <w:rsid w:val="00FD54AD"/>
    <w:rsid w:val="00FD5BC9"/>
    <w:rsid w:val="00FD7B35"/>
    <w:rsid w:val="00FE2425"/>
    <w:rsid w:val="00FE2992"/>
    <w:rsid w:val="00FF6B5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756B95"/>
  <w15:chartTrackingRefBased/>
  <w15:docId w15:val="{B764219D-4E19-420A-B935-240E645C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9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7A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967E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967E6"/>
  </w:style>
  <w:style w:type="paragraph" w:styleId="a7">
    <w:name w:val="footer"/>
    <w:basedOn w:val="a"/>
    <w:link w:val="a8"/>
    <w:uiPriority w:val="99"/>
    <w:semiHidden/>
    <w:unhideWhenUsed/>
    <w:rsid w:val="009113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113A6"/>
    <w:rPr>
      <w:sz w:val="24"/>
      <w:szCs w:val="24"/>
    </w:rPr>
  </w:style>
  <w:style w:type="paragraph" w:styleId="a9">
    <w:name w:val="Body Text"/>
    <w:basedOn w:val="a"/>
    <w:link w:val="aa"/>
    <w:unhideWhenUsed/>
    <w:rsid w:val="00DD15F8"/>
    <w:rPr>
      <w:sz w:val="28"/>
      <w:szCs w:val="20"/>
      <w:lang w:val="uk-UA" w:eastAsia="x-none"/>
    </w:rPr>
  </w:style>
  <w:style w:type="character" w:customStyle="1" w:styleId="aa">
    <w:name w:val="Основной текст Знак"/>
    <w:link w:val="a9"/>
    <w:rsid w:val="00DD15F8"/>
    <w:rPr>
      <w:sz w:val="28"/>
      <w:lang w:val="uk-UA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2977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9774A"/>
    <w:rPr>
      <w:sz w:val="16"/>
      <w:szCs w:val="16"/>
    </w:rPr>
  </w:style>
  <w:style w:type="paragraph" w:styleId="ab">
    <w:name w:val="List Paragraph"/>
    <w:basedOn w:val="a"/>
    <w:uiPriority w:val="34"/>
    <w:qFormat/>
    <w:rsid w:val="001462E0"/>
    <w:pPr>
      <w:ind w:left="708"/>
    </w:pPr>
  </w:style>
  <w:style w:type="character" w:customStyle="1" w:styleId="a5">
    <w:name w:val="Верхний колонтитул Знак"/>
    <w:link w:val="a4"/>
    <w:uiPriority w:val="99"/>
    <w:rsid w:val="00412CF9"/>
    <w:rPr>
      <w:sz w:val="24"/>
      <w:szCs w:val="24"/>
    </w:rPr>
  </w:style>
  <w:style w:type="table" w:styleId="ac">
    <w:name w:val="Table Grid"/>
    <w:basedOn w:val="a1"/>
    <w:uiPriority w:val="59"/>
    <w:rsid w:val="003F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5958-5E7D-4A0E-A5C7-9676AF40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Анатолий Цюпа</cp:lastModifiedBy>
  <cp:revision>2</cp:revision>
  <cp:lastPrinted>2021-02-01T15:34:00Z</cp:lastPrinted>
  <dcterms:created xsi:type="dcterms:W3CDTF">2021-02-03T14:06:00Z</dcterms:created>
  <dcterms:modified xsi:type="dcterms:W3CDTF">2021-02-03T14:06:00Z</dcterms:modified>
</cp:coreProperties>
</file>