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796" w:rsidRDefault="00F33796" w:rsidP="00F33796">
      <w:pPr>
        <w:ind w:left="5812"/>
        <w:jc w:val="both"/>
        <w:rPr>
          <w:szCs w:val="28"/>
        </w:rPr>
      </w:pPr>
      <w:r>
        <w:rPr>
          <w:szCs w:val="28"/>
        </w:rPr>
        <w:t>Додаток 2</w:t>
      </w:r>
    </w:p>
    <w:p w:rsidR="00F33796" w:rsidRDefault="00F33796" w:rsidP="00F33796">
      <w:pPr>
        <w:tabs>
          <w:tab w:val="left" w:pos="6946"/>
        </w:tabs>
        <w:ind w:left="5664" w:firstLine="148"/>
        <w:jc w:val="both"/>
        <w:rPr>
          <w:szCs w:val="28"/>
        </w:rPr>
      </w:pPr>
      <w:r>
        <w:rPr>
          <w:szCs w:val="28"/>
        </w:rPr>
        <w:t>до рішення  обласної ради</w:t>
      </w:r>
    </w:p>
    <w:p w:rsidR="00F33796" w:rsidRDefault="00DF5BF9" w:rsidP="00F33796">
      <w:pPr>
        <w:tabs>
          <w:tab w:val="left" w:pos="6946"/>
        </w:tabs>
        <w:ind w:left="5812"/>
        <w:rPr>
          <w:szCs w:val="28"/>
        </w:rPr>
      </w:pPr>
      <w:r>
        <w:rPr>
          <w:szCs w:val="28"/>
        </w:rPr>
        <w:t xml:space="preserve">від </w:t>
      </w:r>
      <w:r w:rsidR="00B80897">
        <w:rPr>
          <w:szCs w:val="28"/>
        </w:rPr>
        <w:t xml:space="preserve">                   № </w:t>
      </w:r>
    </w:p>
    <w:p w:rsidR="00F33796" w:rsidRDefault="00F33796" w:rsidP="00F33796">
      <w:pPr>
        <w:tabs>
          <w:tab w:val="left" w:pos="6946"/>
        </w:tabs>
        <w:ind w:left="5670" w:firstLine="142"/>
        <w:jc w:val="both"/>
        <w:rPr>
          <w:szCs w:val="28"/>
        </w:rPr>
      </w:pPr>
    </w:p>
    <w:p w:rsidR="00F33796" w:rsidRDefault="00F33796" w:rsidP="00F33796">
      <w:pPr>
        <w:ind w:left="5670" w:firstLine="142"/>
        <w:jc w:val="center"/>
      </w:pPr>
    </w:p>
    <w:p w:rsidR="00F33796" w:rsidRDefault="00F33796" w:rsidP="00F33796">
      <w:pPr>
        <w:jc w:val="center"/>
      </w:pPr>
      <w:r>
        <w:t>ПОРЯДОК</w:t>
      </w:r>
    </w:p>
    <w:p w:rsidR="00F33796" w:rsidRPr="007D773E" w:rsidRDefault="00F33796" w:rsidP="00F33796">
      <w:pPr>
        <w:jc w:val="center"/>
      </w:pPr>
      <w:r w:rsidRPr="007D773E">
        <w:t xml:space="preserve">розподілу та використання коштів обласного бюджету, передбачених </w:t>
      </w:r>
    </w:p>
    <w:p w:rsidR="00F33796" w:rsidRPr="007D773E" w:rsidRDefault="00DC772E" w:rsidP="00F33796">
      <w:pPr>
        <w:jc w:val="center"/>
        <w:rPr>
          <w:bCs/>
          <w:szCs w:val="28"/>
        </w:rPr>
      </w:pPr>
      <w:r>
        <w:t>на виконання</w:t>
      </w:r>
      <w:r w:rsidR="00F33796" w:rsidRPr="007D773E">
        <w:t xml:space="preserve"> заходів Програми</w:t>
      </w:r>
    </w:p>
    <w:p w:rsidR="00F33796" w:rsidRPr="007D773E" w:rsidRDefault="00F33796" w:rsidP="00F33796">
      <w:pPr>
        <w:jc w:val="center"/>
        <w:rPr>
          <w:bCs/>
          <w:szCs w:val="28"/>
        </w:rPr>
      </w:pPr>
    </w:p>
    <w:p w:rsidR="00F33796" w:rsidRPr="007D773E" w:rsidRDefault="00F33796" w:rsidP="00F33796">
      <w:pPr>
        <w:jc w:val="both"/>
      </w:pPr>
      <w:r w:rsidRPr="007D773E">
        <w:rPr>
          <w:bCs/>
          <w:szCs w:val="28"/>
        </w:rPr>
        <w:tab/>
        <w:t xml:space="preserve">1. Цей Порядок визначає механізм розподілу та використання коштів обласного бюджету, </w:t>
      </w:r>
      <w:r w:rsidRPr="007D773E">
        <w:t xml:space="preserve">передбачених для фінансування заходів Програми, </w:t>
      </w:r>
      <w:r w:rsidRPr="007D773E">
        <w:rPr>
          <w:bCs/>
          <w:szCs w:val="28"/>
        </w:rPr>
        <w:t>і застосовується протягом усього періоду реалізації Програми.</w:t>
      </w:r>
    </w:p>
    <w:p w:rsidR="00F33796" w:rsidRPr="003E43CD" w:rsidRDefault="00F33796" w:rsidP="00F33796">
      <w:pPr>
        <w:ind w:firstLine="709"/>
        <w:jc w:val="both"/>
        <w:rPr>
          <w:szCs w:val="28"/>
        </w:rPr>
      </w:pPr>
      <w:r w:rsidRPr="003E43CD">
        <w:t>2.</w:t>
      </w:r>
      <w:r w:rsidRPr="003E43CD">
        <w:rPr>
          <w:szCs w:val="28"/>
        </w:rPr>
        <w:t xml:space="preserve"> Головним розпорядником бюджетних коштів є </w:t>
      </w:r>
      <w:r w:rsidR="00896ADB" w:rsidRPr="003E43CD">
        <w:rPr>
          <w:szCs w:val="28"/>
        </w:rPr>
        <w:t xml:space="preserve">Управління з питань цивільного захисту населення </w:t>
      </w:r>
      <w:r w:rsidR="003B5D7C" w:rsidRPr="003E43CD">
        <w:rPr>
          <w:szCs w:val="28"/>
        </w:rPr>
        <w:t xml:space="preserve">та оборонної роботи </w:t>
      </w:r>
      <w:r w:rsidRPr="003E43CD">
        <w:rPr>
          <w:szCs w:val="28"/>
        </w:rPr>
        <w:t>Житомирськ</w:t>
      </w:r>
      <w:r w:rsidR="00896ADB" w:rsidRPr="003E43CD">
        <w:rPr>
          <w:szCs w:val="28"/>
        </w:rPr>
        <w:t>ої</w:t>
      </w:r>
      <w:r w:rsidRPr="003E43CD">
        <w:rPr>
          <w:szCs w:val="28"/>
        </w:rPr>
        <w:t xml:space="preserve"> обласн</w:t>
      </w:r>
      <w:r w:rsidR="00896ADB" w:rsidRPr="003E43CD">
        <w:rPr>
          <w:szCs w:val="28"/>
        </w:rPr>
        <w:t>ої</w:t>
      </w:r>
      <w:r w:rsidRPr="003E43CD">
        <w:rPr>
          <w:szCs w:val="28"/>
        </w:rPr>
        <w:t xml:space="preserve"> </w:t>
      </w:r>
      <w:r w:rsidR="00237F23" w:rsidRPr="003E43CD">
        <w:rPr>
          <w:szCs w:val="28"/>
        </w:rPr>
        <w:t>державної</w:t>
      </w:r>
      <w:r w:rsidRPr="003E43CD">
        <w:rPr>
          <w:szCs w:val="28"/>
        </w:rPr>
        <w:t xml:space="preserve"> адміністраці</w:t>
      </w:r>
      <w:r w:rsidR="00896ADB" w:rsidRPr="003E43CD">
        <w:rPr>
          <w:szCs w:val="28"/>
        </w:rPr>
        <w:t>ї</w:t>
      </w:r>
      <w:r w:rsidRPr="003E43CD">
        <w:rPr>
          <w:szCs w:val="28"/>
        </w:rPr>
        <w:t>.</w:t>
      </w:r>
    </w:p>
    <w:p w:rsidR="00F33796" w:rsidRPr="003E43CD" w:rsidRDefault="00F33796" w:rsidP="00F33796">
      <w:pPr>
        <w:ind w:firstLine="709"/>
        <w:jc w:val="both"/>
        <w:rPr>
          <w:bCs/>
          <w:strike/>
          <w:szCs w:val="28"/>
        </w:rPr>
      </w:pPr>
      <w:r w:rsidRPr="003E43CD">
        <w:rPr>
          <w:szCs w:val="28"/>
        </w:rPr>
        <w:t>3. Кошти обласного бюджету спрямовуються на реалізацію заходів Програми</w:t>
      </w:r>
      <w:r w:rsidR="00BD4013" w:rsidRPr="003E43CD">
        <w:rPr>
          <w:szCs w:val="28"/>
        </w:rPr>
        <w:t xml:space="preserve"> - </w:t>
      </w:r>
      <w:r w:rsidRPr="003E43CD">
        <w:rPr>
          <w:szCs w:val="28"/>
        </w:rPr>
        <w:t xml:space="preserve"> матеріально-технічн</w:t>
      </w:r>
      <w:r w:rsidR="0045303A" w:rsidRPr="003E43CD">
        <w:rPr>
          <w:szCs w:val="28"/>
        </w:rPr>
        <w:t>у</w:t>
      </w:r>
      <w:r w:rsidRPr="003E43CD">
        <w:rPr>
          <w:szCs w:val="28"/>
        </w:rPr>
        <w:t xml:space="preserve"> </w:t>
      </w:r>
      <w:r w:rsidR="0045303A" w:rsidRPr="003E43CD">
        <w:rPr>
          <w:szCs w:val="28"/>
        </w:rPr>
        <w:t>допомогу у вигляді фінансового ресурсу військовим</w:t>
      </w:r>
      <w:r w:rsidRPr="003E43CD">
        <w:rPr>
          <w:szCs w:val="28"/>
        </w:rPr>
        <w:t xml:space="preserve"> частин</w:t>
      </w:r>
      <w:r w:rsidR="0045303A" w:rsidRPr="003E43CD">
        <w:rPr>
          <w:szCs w:val="28"/>
        </w:rPr>
        <w:t xml:space="preserve">ам </w:t>
      </w:r>
      <w:r w:rsidRPr="003E43CD">
        <w:rPr>
          <w:szCs w:val="28"/>
        </w:rPr>
        <w:t xml:space="preserve">Збройних </w:t>
      </w:r>
      <w:r w:rsidR="00F4451F">
        <w:rPr>
          <w:szCs w:val="28"/>
        </w:rPr>
        <w:t>С</w:t>
      </w:r>
      <w:r w:rsidRPr="003E43CD">
        <w:rPr>
          <w:szCs w:val="28"/>
        </w:rPr>
        <w:t>ил України</w:t>
      </w:r>
      <w:r w:rsidR="0045303A" w:rsidRPr="003E43CD">
        <w:rPr>
          <w:szCs w:val="28"/>
        </w:rPr>
        <w:t xml:space="preserve"> А0281, А1910, А</w:t>
      </w:r>
      <w:r w:rsidR="00B00B58" w:rsidRPr="003E43CD">
        <w:rPr>
          <w:szCs w:val="28"/>
        </w:rPr>
        <w:t>1435</w:t>
      </w:r>
      <w:r w:rsidR="0045303A" w:rsidRPr="003E43CD">
        <w:rPr>
          <w:szCs w:val="28"/>
        </w:rPr>
        <w:t xml:space="preserve">, </w:t>
      </w:r>
      <w:r w:rsidR="00B80897" w:rsidRPr="00B80897">
        <w:rPr>
          <w:szCs w:val="28"/>
        </w:rPr>
        <w:t>А</w:t>
      </w:r>
      <w:r w:rsidR="00B80897">
        <w:rPr>
          <w:szCs w:val="28"/>
        </w:rPr>
        <w:t xml:space="preserve">2223, </w:t>
      </w:r>
      <w:r w:rsidR="0045303A" w:rsidRPr="003E43CD">
        <w:rPr>
          <w:szCs w:val="28"/>
        </w:rPr>
        <w:t>військовій частині</w:t>
      </w:r>
      <w:r w:rsidRPr="003E43CD">
        <w:rPr>
          <w:szCs w:val="28"/>
        </w:rPr>
        <w:t xml:space="preserve"> 3047 Національної гвардії України. </w:t>
      </w:r>
    </w:p>
    <w:p w:rsidR="00F33796" w:rsidRPr="003E43CD" w:rsidRDefault="00F33796" w:rsidP="00F33796">
      <w:pPr>
        <w:widowControl w:val="0"/>
        <w:suppressAutoHyphens w:val="0"/>
        <w:autoSpaceDE w:val="0"/>
        <w:ind w:right="-58" w:firstLine="708"/>
        <w:jc w:val="both"/>
        <w:rPr>
          <w:szCs w:val="28"/>
        </w:rPr>
      </w:pPr>
      <w:r w:rsidRPr="003E43CD">
        <w:rPr>
          <w:bCs/>
          <w:szCs w:val="28"/>
        </w:rPr>
        <w:t xml:space="preserve">4. Одержувачами коштів, згідно з  Програмою, є </w:t>
      </w:r>
      <w:r w:rsidRPr="003E43CD">
        <w:rPr>
          <w:szCs w:val="28"/>
        </w:rPr>
        <w:t xml:space="preserve">військові частини Збройних </w:t>
      </w:r>
      <w:r w:rsidR="00F4451F">
        <w:rPr>
          <w:szCs w:val="28"/>
        </w:rPr>
        <w:t>С</w:t>
      </w:r>
      <w:r w:rsidRPr="003E43CD">
        <w:rPr>
          <w:szCs w:val="28"/>
        </w:rPr>
        <w:t>ил України</w:t>
      </w:r>
      <w:r w:rsidR="00B00B58" w:rsidRPr="003E43CD">
        <w:rPr>
          <w:szCs w:val="28"/>
        </w:rPr>
        <w:t xml:space="preserve"> А0281, А1910, А</w:t>
      </w:r>
      <w:r w:rsidRPr="003E43CD">
        <w:rPr>
          <w:szCs w:val="28"/>
        </w:rPr>
        <w:t>1</w:t>
      </w:r>
      <w:r w:rsidR="00B00B58" w:rsidRPr="003E43CD">
        <w:rPr>
          <w:szCs w:val="28"/>
        </w:rPr>
        <w:t>435</w:t>
      </w:r>
      <w:r w:rsidRPr="003E43CD">
        <w:rPr>
          <w:szCs w:val="28"/>
        </w:rPr>
        <w:t>,</w:t>
      </w:r>
      <w:r w:rsidR="00B80897" w:rsidRPr="00B80897">
        <w:t xml:space="preserve"> </w:t>
      </w:r>
      <w:r w:rsidR="00B80897" w:rsidRPr="00B80897">
        <w:rPr>
          <w:szCs w:val="28"/>
        </w:rPr>
        <w:t>А2223</w:t>
      </w:r>
      <w:r w:rsidR="00B80897">
        <w:rPr>
          <w:szCs w:val="28"/>
        </w:rPr>
        <w:t>,</w:t>
      </w:r>
      <w:r w:rsidRPr="003E43CD">
        <w:rPr>
          <w:szCs w:val="28"/>
        </w:rPr>
        <w:t xml:space="preserve"> військова частина 3047 Національної гвардії України. </w:t>
      </w:r>
    </w:p>
    <w:p w:rsidR="0045303A" w:rsidRPr="003E43CD" w:rsidRDefault="0045303A" w:rsidP="0045303A">
      <w:pPr>
        <w:ind w:firstLine="709"/>
        <w:jc w:val="both"/>
        <w:rPr>
          <w:bCs/>
          <w:szCs w:val="28"/>
        </w:rPr>
      </w:pPr>
      <w:r w:rsidRPr="003E43CD">
        <w:rPr>
          <w:bCs/>
          <w:szCs w:val="28"/>
        </w:rPr>
        <w:t xml:space="preserve">5. Використання коштів обласного бюджету здійснюється </w:t>
      </w:r>
      <w:r w:rsidR="00B00B58" w:rsidRPr="003E43CD">
        <w:rPr>
          <w:bCs/>
          <w:szCs w:val="28"/>
        </w:rPr>
        <w:t xml:space="preserve">Управлінням з питань цивільного захисту населення </w:t>
      </w:r>
      <w:r w:rsidR="003B5D7C" w:rsidRPr="003E43CD">
        <w:rPr>
          <w:bCs/>
          <w:szCs w:val="28"/>
        </w:rPr>
        <w:t xml:space="preserve">та оборонної роботи </w:t>
      </w:r>
      <w:r w:rsidR="00B00B58" w:rsidRPr="003E43CD">
        <w:rPr>
          <w:bCs/>
          <w:szCs w:val="28"/>
        </w:rPr>
        <w:t>Житомирської обласної державн</w:t>
      </w:r>
      <w:r w:rsidR="00237F23" w:rsidRPr="003E43CD">
        <w:rPr>
          <w:bCs/>
          <w:szCs w:val="28"/>
        </w:rPr>
        <w:t>о</w:t>
      </w:r>
      <w:r w:rsidR="00B00B58" w:rsidRPr="003E43CD">
        <w:rPr>
          <w:bCs/>
          <w:szCs w:val="28"/>
        </w:rPr>
        <w:t xml:space="preserve">ї адміністрації </w:t>
      </w:r>
      <w:r w:rsidRPr="003E43CD">
        <w:rPr>
          <w:bCs/>
          <w:szCs w:val="28"/>
        </w:rPr>
        <w:t>у межах видатків, затверджених на реалізацію заходів Програми.</w:t>
      </w:r>
    </w:p>
    <w:p w:rsidR="003E43CD" w:rsidRPr="003E43CD" w:rsidRDefault="003E43CD" w:rsidP="00F33796">
      <w:pPr>
        <w:shd w:val="clear" w:color="auto" w:fill="FEFEFE"/>
        <w:ind w:firstLine="708"/>
        <w:jc w:val="both"/>
        <w:rPr>
          <w:szCs w:val="28"/>
        </w:rPr>
      </w:pPr>
      <w:r w:rsidRPr="003E43CD">
        <w:rPr>
          <w:szCs w:val="28"/>
        </w:rPr>
        <w:t xml:space="preserve">6. </w:t>
      </w:r>
      <w:r w:rsidRPr="007C1FC5">
        <w:rPr>
          <w:szCs w:val="28"/>
        </w:rPr>
        <w:t xml:space="preserve">Учасники Програми до 01 </w:t>
      </w:r>
      <w:r w:rsidR="006E12B3">
        <w:rPr>
          <w:szCs w:val="28"/>
        </w:rPr>
        <w:t>липня</w:t>
      </w:r>
      <w:bookmarkStart w:id="0" w:name="_GoBack"/>
      <w:bookmarkEnd w:id="0"/>
      <w:r w:rsidRPr="007C1FC5">
        <w:rPr>
          <w:szCs w:val="28"/>
        </w:rPr>
        <w:t xml:space="preserve"> подають до Управління з питань цивільного захисту населення та оборонної роботи Житомирської обл</w:t>
      </w:r>
      <w:r w:rsidR="00096E9B">
        <w:rPr>
          <w:szCs w:val="28"/>
        </w:rPr>
        <w:t xml:space="preserve">держадміністрації </w:t>
      </w:r>
      <w:r w:rsidRPr="007C1FC5">
        <w:rPr>
          <w:szCs w:val="28"/>
        </w:rPr>
        <w:t>заявки на отримання матеріально-технічної допомоги у вигляді фінансового ресурсу з обласного бюджету із детальними розрахунками та напрямками видатків.</w:t>
      </w:r>
    </w:p>
    <w:p w:rsidR="003B5D7C" w:rsidRPr="00DA27D0" w:rsidRDefault="003E43CD" w:rsidP="00F33796">
      <w:pPr>
        <w:shd w:val="clear" w:color="auto" w:fill="FEFEFE"/>
        <w:ind w:firstLine="708"/>
        <w:jc w:val="both"/>
        <w:rPr>
          <w:szCs w:val="28"/>
        </w:rPr>
      </w:pPr>
      <w:r w:rsidRPr="00DA27D0">
        <w:rPr>
          <w:szCs w:val="28"/>
        </w:rPr>
        <w:t>7</w:t>
      </w:r>
      <w:r w:rsidR="00AF22AE" w:rsidRPr="00DA27D0">
        <w:rPr>
          <w:szCs w:val="28"/>
        </w:rPr>
        <w:t>.</w:t>
      </w:r>
      <w:r w:rsidR="00F33796" w:rsidRPr="00DA27D0">
        <w:rPr>
          <w:szCs w:val="28"/>
        </w:rPr>
        <w:t xml:space="preserve"> </w:t>
      </w:r>
      <w:r w:rsidR="00FF064E" w:rsidRPr="00FF064E">
        <w:rPr>
          <w:szCs w:val="28"/>
        </w:rPr>
        <w:t xml:space="preserve">Після опрацювання уточненої заявки учасника Програми </w:t>
      </w:r>
      <w:r w:rsidR="00096E9B" w:rsidRPr="0078263A">
        <w:rPr>
          <w:szCs w:val="28"/>
        </w:rPr>
        <w:t>Управління з питань цивільного захисту населення та оборонної роботи Житомирської облдержадміністрації</w:t>
      </w:r>
      <w:r w:rsidR="00FF064E" w:rsidRPr="0078263A">
        <w:rPr>
          <w:szCs w:val="28"/>
        </w:rPr>
        <w:t xml:space="preserve"> приймає рішення щодо фінансування заявлених учасником статей видатків, направляє подання до обласної ради </w:t>
      </w:r>
      <w:r w:rsidR="00FF064E" w:rsidRPr="00FF064E">
        <w:rPr>
          <w:szCs w:val="28"/>
        </w:rPr>
        <w:t>з метою розгляду та погодження використання коштів обласного бюджету на засіданні постійної комісії обласної ради з питань бю</w:t>
      </w:r>
      <w:r w:rsidR="00096E9B">
        <w:rPr>
          <w:szCs w:val="28"/>
        </w:rPr>
        <w:t>джету і комунальної власності.</w:t>
      </w:r>
      <w:r w:rsidR="003B5D7C" w:rsidRPr="00DA27D0">
        <w:rPr>
          <w:szCs w:val="28"/>
        </w:rPr>
        <w:t xml:space="preserve"> </w:t>
      </w:r>
    </w:p>
    <w:p w:rsidR="003E43CD" w:rsidRPr="0078263A" w:rsidRDefault="003E43CD" w:rsidP="00F33796">
      <w:pPr>
        <w:ind w:firstLine="709"/>
        <w:jc w:val="both"/>
        <w:rPr>
          <w:bCs/>
          <w:szCs w:val="28"/>
        </w:rPr>
      </w:pPr>
      <w:r w:rsidRPr="00DA27D0">
        <w:rPr>
          <w:bCs/>
          <w:szCs w:val="28"/>
        </w:rPr>
        <w:t>8</w:t>
      </w:r>
      <w:r w:rsidRPr="0078263A">
        <w:rPr>
          <w:bCs/>
          <w:szCs w:val="28"/>
        </w:rPr>
        <w:t xml:space="preserve">. </w:t>
      </w:r>
      <w:r w:rsidR="00FF064E" w:rsidRPr="0078263A">
        <w:rPr>
          <w:bCs/>
          <w:szCs w:val="28"/>
        </w:rPr>
        <w:t xml:space="preserve">У разі залишку невикористаних бюджетних асигнувань, виділених на реалізацію Програми станом на 01 листопада поточного року, </w:t>
      </w:r>
      <w:r w:rsidR="00096E9B" w:rsidRPr="0078263A">
        <w:rPr>
          <w:bCs/>
          <w:szCs w:val="28"/>
        </w:rPr>
        <w:t>кошти</w:t>
      </w:r>
      <w:r w:rsidR="0078263A" w:rsidRPr="0078263A">
        <w:t xml:space="preserve"> повертаються до </w:t>
      </w:r>
      <w:r w:rsidR="0078263A" w:rsidRPr="0078263A">
        <w:rPr>
          <w:bCs/>
          <w:szCs w:val="28"/>
        </w:rPr>
        <w:t>обласного бюджету</w:t>
      </w:r>
      <w:r w:rsidR="00E858CA" w:rsidRPr="0078263A">
        <w:rPr>
          <w:bCs/>
          <w:szCs w:val="28"/>
        </w:rPr>
        <w:t xml:space="preserve"> </w:t>
      </w:r>
      <w:r w:rsidR="0078263A" w:rsidRPr="0078263A">
        <w:rPr>
          <w:bCs/>
          <w:szCs w:val="28"/>
        </w:rPr>
        <w:t>.</w:t>
      </w:r>
      <w:r w:rsidR="00E858CA" w:rsidRPr="0078263A">
        <w:rPr>
          <w:bCs/>
          <w:szCs w:val="28"/>
        </w:rPr>
        <w:t xml:space="preserve"> </w:t>
      </w:r>
    </w:p>
    <w:p w:rsidR="00F33796" w:rsidRPr="007D773E" w:rsidRDefault="003E43CD" w:rsidP="00F33796">
      <w:pPr>
        <w:ind w:firstLine="709"/>
        <w:jc w:val="both"/>
        <w:rPr>
          <w:bCs/>
          <w:szCs w:val="28"/>
        </w:rPr>
      </w:pPr>
      <w:r w:rsidRPr="0078263A">
        <w:rPr>
          <w:bCs/>
          <w:szCs w:val="28"/>
        </w:rPr>
        <w:t>9</w:t>
      </w:r>
      <w:r w:rsidR="00F33796" w:rsidRPr="0078263A">
        <w:rPr>
          <w:bCs/>
          <w:szCs w:val="28"/>
        </w:rPr>
        <w:t xml:space="preserve">. Операції з бюджетними коштами </w:t>
      </w:r>
      <w:r w:rsidR="00F33796" w:rsidRPr="007D773E">
        <w:rPr>
          <w:bCs/>
          <w:szCs w:val="28"/>
        </w:rPr>
        <w:t>проводяться відповідно до Порядку казначейського обслуговування місцевих бюджетів, затвердженого наказом Міністерства фінансів України від 23.08.2012 № 938, зареєстрованого в Міністерстві юстиції України 12.09.2012 за №1569/21881, з урахуванням пропозицій  постійної комісії обласної ради з питань бюджету і комунальної власності щодо закупівлі матеріально-технічних засобів.</w:t>
      </w:r>
    </w:p>
    <w:p w:rsidR="00CE64B7" w:rsidRDefault="003E43CD" w:rsidP="00F33796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lastRenderedPageBreak/>
        <w:t>10</w:t>
      </w:r>
      <w:r w:rsidR="00A84AE3">
        <w:rPr>
          <w:bCs/>
          <w:szCs w:val="28"/>
        </w:rPr>
        <w:t xml:space="preserve">. </w:t>
      </w:r>
      <w:r w:rsidR="00CE64B7" w:rsidRPr="00CE64B7">
        <w:rPr>
          <w:bCs/>
          <w:szCs w:val="28"/>
        </w:rPr>
        <w:t>Складення та подання фінансової звітності про використання бюджетних коштів здійснюється в установленому законодавством порядку із наданням засвідчених належним чином документів (копії платіжних доручень та накладних).</w:t>
      </w:r>
    </w:p>
    <w:p w:rsidR="00F33796" w:rsidRDefault="00564189" w:rsidP="00F33796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</w:t>
      </w:r>
      <w:r w:rsidR="003E43CD">
        <w:rPr>
          <w:bCs/>
          <w:szCs w:val="28"/>
        </w:rPr>
        <w:t>1</w:t>
      </w:r>
      <w:r w:rsidR="00F33796" w:rsidRPr="007D773E">
        <w:rPr>
          <w:bCs/>
          <w:szCs w:val="28"/>
        </w:rPr>
        <w:t xml:space="preserve">. Контроль за цільовим та ефективним використанням коштів обласного бюджету, що спрямовуються на реалізацію заходів Програми, покладається на </w:t>
      </w:r>
      <w:r w:rsidR="00F33796">
        <w:rPr>
          <w:bCs/>
          <w:szCs w:val="28"/>
        </w:rPr>
        <w:t>головного розпорядника коштів.</w:t>
      </w:r>
    </w:p>
    <w:p w:rsidR="00F33796" w:rsidRDefault="00F33796" w:rsidP="00F33796">
      <w:pPr>
        <w:ind w:firstLine="709"/>
        <w:jc w:val="both"/>
        <w:rPr>
          <w:bCs/>
          <w:szCs w:val="28"/>
        </w:rPr>
      </w:pPr>
    </w:p>
    <w:p w:rsidR="005C05AB" w:rsidRDefault="005C05AB" w:rsidP="00F33796"/>
    <w:p w:rsidR="00BF6819" w:rsidRDefault="00BF6819" w:rsidP="00F33796"/>
    <w:p w:rsidR="00F33796" w:rsidRPr="007D773E" w:rsidRDefault="00F33796" w:rsidP="00F33796">
      <w:r w:rsidRPr="007D773E">
        <w:t>Перший заступник</w:t>
      </w:r>
    </w:p>
    <w:p w:rsidR="00F33796" w:rsidRDefault="00F33796" w:rsidP="00F33796">
      <w:r>
        <w:t>голови обласної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4451F">
        <w:t xml:space="preserve">    </w:t>
      </w:r>
      <w:r w:rsidR="007C1FC5">
        <w:t>О</w:t>
      </w:r>
      <w:r w:rsidR="00F4451F">
        <w:t>.М.</w:t>
      </w:r>
      <w:r>
        <w:t xml:space="preserve"> </w:t>
      </w:r>
      <w:r w:rsidR="007C1FC5">
        <w:t>Д</w:t>
      </w:r>
      <w:r w:rsidR="00F4451F">
        <w:t>зюбенко</w:t>
      </w:r>
    </w:p>
    <w:p w:rsidR="00F33796" w:rsidRDefault="00F33796" w:rsidP="00F33796"/>
    <w:p w:rsidR="007F67FC" w:rsidRDefault="007F67FC" w:rsidP="00F33796"/>
    <w:p w:rsidR="007F67FC" w:rsidRDefault="007F67FC" w:rsidP="00F33796"/>
    <w:p w:rsidR="007F67FC" w:rsidRDefault="007F67FC" w:rsidP="00F33796"/>
    <w:sectPr w:rsidR="007F67FC" w:rsidSect="00BF6819">
      <w:headerReference w:type="default" r:id="rId6"/>
      <w:pgSz w:w="11906" w:h="16838"/>
      <w:pgMar w:top="1134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674" w:rsidRDefault="00F64674" w:rsidP="00344813">
      <w:r>
        <w:separator/>
      </w:r>
    </w:p>
  </w:endnote>
  <w:endnote w:type="continuationSeparator" w:id="0">
    <w:p w:rsidR="00F64674" w:rsidRDefault="00F64674" w:rsidP="0034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674" w:rsidRDefault="00F64674" w:rsidP="00344813">
      <w:r>
        <w:separator/>
      </w:r>
    </w:p>
  </w:footnote>
  <w:footnote w:type="continuationSeparator" w:id="0">
    <w:p w:rsidR="00F64674" w:rsidRDefault="00F64674" w:rsidP="00344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3992"/>
      <w:docPartObj>
        <w:docPartGallery w:val="Page Numbers (Top of Page)"/>
        <w:docPartUnique/>
      </w:docPartObj>
    </w:sdtPr>
    <w:sdtEndPr/>
    <w:sdtContent>
      <w:p w:rsidR="00F72C84" w:rsidRDefault="0097726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2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72C84" w:rsidRDefault="00F72C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796"/>
    <w:rsid w:val="00051292"/>
    <w:rsid w:val="00073E91"/>
    <w:rsid w:val="00076CAE"/>
    <w:rsid w:val="0008649E"/>
    <w:rsid w:val="00096E9B"/>
    <w:rsid w:val="001A0280"/>
    <w:rsid w:val="001D3BBC"/>
    <w:rsid w:val="00203655"/>
    <w:rsid w:val="00217217"/>
    <w:rsid w:val="00237F23"/>
    <w:rsid w:val="00250FA3"/>
    <w:rsid w:val="00264590"/>
    <w:rsid w:val="002957F3"/>
    <w:rsid w:val="00296828"/>
    <w:rsid w:val="00323D97"/>
    <w:rsid w:val="003338E2"/>
    <w:rsid w:val="00344813"/>
    <w:rsid w:val="00347738"/>
    <w:rsid w:val="003A5E90"/>
    <w:rsid w:val="003B5D7C"/>
    <w:rsid w:val="003E43CD"/>
    <w:rsid w:val="003F4053"/>
    <w:rsid w:val="00402E01"/>
    <w:rsid w:val="00427B9D"/>
    <w:rsid w:val="0045303A"/>
    <w:rsid w:val="00484B97"/>
    <w:rsid w:val="00486539"/>
    <w:rsid w:val="004A5BB7"/>
    <w:rsid w:val="004B0809"/>
    <w:rsid w:val="004B282B"/>
    <w:rsid w:val="004D170B"/>
    <w:rsid w:val="004E2510"/>
    <w:rsid w:val="004E7F6C"/>
    <w:rsid w:val="004F2A63"/>
    <w:rsid w:val="004F5AFF"/>
    <w:rsid w:val="00564189"/>
    <w:rsid w:val="00580D9D"/>
    <w:rsid w:val="005C00A5"/>
    <w:rsid w:val="005C05AB"/>
    <w:rsid w:val="00650500"/>
    <w:rsid w:val="00670BA9"/>
    <w:rsid w:val="006C4464"/>
    <w:rsid w:val="006E12B3"/>
    <w:rsid w:val="00775EEA"/>
    <w:rsid w:val="0078263A"/>
    <w:rsid w:val="00794150"/>
    <w:rsid w:val="007C1FC5"/>
    <w:rsid w:val="007F2A02"/>
    <w:rsid w:val="007F5025"/>
    <w:rsid w:val="007F67FC"/>
    <w:rsid w:val="00810E45"/>
    <w:rsid w:val="00862BFD"/>
    <w:rsid w:val="00896ADB"/>
    <w:rsid w:val="008F0F35"/>
    <w:rsid w:val="00915291"/>
    <w:rsid w:val="0095659D"/>
    <w:rsid w:val="00977264"/>
    <w:rsid w:val="009B7AE2"/>
    <w:rsid w:val="00A32971"/>
    <w:rsid w:val="00A37A58"/>
    <w:rsid w:val="00A42012"/>
    <w:rsid w:val="00A50E7B"/>
    <w:rsid w:val="00A60FF8"/>
    <w:rsid w:val="00A74F4C"/>
    <w:rsid w:val="00A81AC9"/>
    <w:rsid w:val="00A84AE3"/>
    <w:rsid w:val="00AB4223"/>
    <w:rsid w:val="00AF22AE"/>
    <w:rsid w:val="00B00B58"/>
    <w:rsid w:val="00B80897"/>
    <w:rsid w:val="00BD4013"/>
    <w:rsid w:val="00BF6819"/>
    <w:rsid w:val="00C36A86"/>
    <w:rsid w:val="00C51E00"/>
    <w:rsid w:val="00C626E8"/>
    <w:rsid w:val="00C72FE2"/>
    <w:rsid w:val="00C76333"/>
    <w:rsid w:val="00C81C87"/>
    <w:rsid w:val="00C85053"/>
    <w:rsid w:val="00C92E92"/>
    <w:rsid w:val="00C96CF1"/>
    <w:rsid w:val="00CB04A9"/>
    <w:rsid w:val="00CE17CE"/>
    <w:rsid w:val="00CE64B7"/>
    <w:rsid w:val="00D4093E"/>
    <w:rsid w:val="00D509C9"/>
    <w:rsid w:val="00DA27D0"/>
    <w:rsid w:val="00DC772E"/>
    <w:rsid w:val="00DF5BF9"/>
    <w:rsid w:val="00E104CB"/>
    <w:rsid w:val="00E84BB6"/>
    <w:rsid w:val="00E858CA"/>
    <w:rsid w:val="00EA4F41"/>
    <w:rsid w:val="00EC724E"/>
    <w:rsid w:val="00EC79CD"/>
    <w:rsid w:val="00F300B6"/>
    <w:rsid w:val="00F33796"/>
    <w:rsid w:val="00F4451F"/>
    <w:rsid w:val="00F54B15"/>
    <w:rsid w:val="00F64674"/>
    <w:rsid w:val="00F72C84"/>
    <w:rsid w:val="00F764AC"/>
    <w:rsid w:val="00FA52AF"/>
    <w:rsid w:val="00FD5523"/>
    <w:rsid w:val="00FF064E"/>
    <w:rsid w:val="00FF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CF9C6"/>
  <w15:docId w15:val="{38ABF2DC-6141-4D92-AC7A-21987D7D3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79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7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3796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3E43C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43CD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1880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l.skalska</dc:creator>
  <cp:keywords/>
  <dc:description/>
  <cp:lastModifiedBy>Tiutiunnyk</cp:lastModifiedBy>
  <cp:revision>21</cp:revision>
  <cp:lastPrinted>2020-12-11T08:14:00Z</cp:lastPrinted>
  <dcterms:created xsi:type="dcterms:W3CDTF">2020-02-14T06:54:00Z</dcterms:created>
  <dcterms:modified xsi:type="dcterms:W3CDTF">2020-12-18T07:23:00Z</dcterms:modified>
</cp:coreProperties>
</file>