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F" w:rsidRPr="006C390F" w:rsidRDefault="006C390F" w:rsidP="006C390F">
      <w:pPr>
        <w:spacing w:after="12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Програма</w:t>
      </w:r>
      <w:r w:rsidRPr="006C390F">
        <w:rPr>
          <w:b/>
          <w:sz w:val="28"/>
          <w:szCs w:val="28"/>
        </w:rPr>
        <w:t xml:space="preserve"> розвитку громадянського суспільства у Житомирській області на 2016–2018 роки</w:t>
      </w:r>
    </w:p>
    <w:p w:rsidR="005A0DCA" w:rsidRDefault="005A0DCA" w:rsidP="005A0DC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прийнята для посилення співпраці з інститутами громадянського суспільства, проведення консультацій з громадськістю, підтримку ініціатив громадських організацій, забезпечення діяльності</w:t>
      </w:r>
      <w:r w:rsidR="00315D3C">
        <w:rPr>
          <w:sz w:val="28"/>
          <w:szCs w:val="28"/>
        </w:rPr>
        <w:t xml:space="preserve"> громадської, гуманітарної та координаційної рад</w:t>
      </w:r>
      <w:r>
        <w:rPr>
          <w:sz w:val="28"/>
          <w:szCs w:val="28"/>
        </w:rPr>
        <w:t xml:space="preserve"> при облдержадміністрації.</w:t>
      </w:r>
    </w:p>
    <w:p w:rsidR="006C390F" w:rsidRPr="009453C5" w:rsidRDefault="006C390F" w:rsidP="009453C5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З метою реалізації</w:t>
      </w:r>
      <w:r w:rsidRPr="00C02F1A">
        <w:rPr>
          <w:snapToGrid w:val="0"/>
          <w:sz w:val="28"/>
          <w:szCs w:val="28"/>
        </w:rPr>
        <w:t xml:space="preserve"> стратегії розвитку громадянсь</w:t>
      </w:r>
      <w:r>
        <w:rPr>
          <w:snapToGrid w:val="0"/>
          <w:sz w:val="28"/>
          <w:szCs w:val="28"/>
        </w:rPr>
        <w:t>кого суспільства на Житомирщині та ефективної</w:t>
      </w:r>
      <w:r w:rsidRPr="00692390">
        <w:rPr>
          <w:snapToGrid w:val="0"/>
          <w:sz w:val="28"/>
          <w:szCs w:val="28"/>
        </w:rPr>
        <w:t xml:space="preserve"> співпраці інститутів громадянського суспільства з органами влади</w:t>
      </w:r>
      <w:r>
        <w:rPr>
          <w:snapToGrid w:val="0"/>
          <w:sz w:val="28"/>
          <w:szCs w:val="28"/>
        </w:rPr>
        <w:t xml:space="preserve"> у </w:t>
      </w:r>
      <w:r w:rsidR="009453C5">
        <w:rPr>
          <w:snapToGrid w:val="0"/>
          <w:sz w:val="28"/>
          <w:szCs w:val="28"/>
        </w:rPr>
        <w:t xml:space="preserve">2016 році у </w:t>
      </w:r>
      <w:r>
        <w:rPr>
          <w:b/>
          <w:sz w:val="28"/>
          <w:szCs w:val="28"/>
        </w:rPr>
        <w:t>Програму</w:t>
      </w:r>
      <w:r w:rsidRPr="006C390F">
        <w:rPr>
          <w:b/>
          <w:sz w:val="28"/>
          <w:szCs w:val="28"/>
        </w:rPr>
        <w:t xml:space="preserve"> розвитку громадянського суспільства у Житомирській області на 2016–2018 роки</w:t>
      </w:r>
      <w:r>
        <w:rPr>
          <w:b/>
          <w:sz w:val="28"/>
          <w:szCs w:val="28"/>
        </w:rPr>
        <w:t xml:space="preserve"> були внесені зміни</w:t>
      </w:r>
      <w:r w:rsidR="009453C5">
        <w:rPr>
          <w:b/>
          <w:sz w:val="28"/>
          <w:szCs w:val="28"/>
        </w:rPr>
        <w:t xml:space="preserve"> </w:t>
      </w:r>
      <w:r w:rsidR="009453C5" w:rsidRPr="005D6861">
        <w:rPr>
          <w:sz w:val="28"/>
          <w:szCs w:val="28"/>
        </w:rPr>
        <w:t>(</w:t>
      </w:r>
      <w:r w:rsidR="009453C5">
        <w:rPr>
          <w:sz w:val="28"/>
          <w:szCs w:val="28"/>
        </w:rPr>
        <w:t>рішення сесії</w:t>
      </w:r>
      <w:r w:rsidR="009453C5" w:rsidRPr="00230EAB">
        <w:rPr>
          <w:sz w:val="28"/>
          <w:szCs w:val="28"/>
        </w:rPr>
        <w:t xml:space="preserve"> Житомирської обласної ради від 22.12.2016 № 424</w:t>
      </w:r>
      <w:r w:rsidR="009453C5" w:rsidRPr="009453C5">
        <w:rPr>
          <w:sz w:val="28"/>
          <w:szCs w:val="28"/>
        </w:rPr>
        <w:t>)</w:t>
      </w:r>
      <w:r w:rsidRPr="009453C5">
        <w:rPr>
          <w:sz w:val="28"/>
          <w:szCs w:val="28"/>
        </w:rPr>
        <w:t>, а саме виділення</w:t>
      </w:r>
      <w:r>
        <w:rPr>
          <w:b/>
          <w:sz w:val="28"/>
          <w:szCs w:val="28"/>
        </w:rPr>
        <w:t xml:space="preserve"> </w:t>
      </w:r>
      <w:r w:rsidRPr="009453C5">
        <w:rPr>
          <w:b/>
          <w:sz w:val="28"/>
          <w:szCs w:val="28"/>
        </w:rPr>
        <w:t>1000,0 тис. грн. на 2017 рік</w:t>
      </w:r>
      <w:r w:rsidRPr="009E1205">
        <w:rPr>
          <w:sz w:val="28"/>
          <w:szCs w:val="28"/>
        </w:rPr>
        <w:t xml:space="preserve"> з обласного бюджету</w:t>
      </w:r>
      <w:r>
        <w:rPr>
          <w:sz w:val="28"/>
          <w:szCs w:val="28"/>
        </w:rPr>
        <w:t xml:space="preserve"> для </w:t>
      </w:r>
      <w:r w:rsidRPr="009E1205">
        <w:rPr>
          <w:snapToGrid w:val="0"/>
          <w:sz w:val="28"/>
          <w:szCs w:val="28"/>
        </w:rPr>
        <w:t>ф</w:t>
      </w:r>
      <w:r w:rsidR="009453C5">
        <w:rPr>
          <w:sz w:val="28"/>
          <w:szCs w:val="28"/>
        </w:rPr>
        <w:t>інансової підтримки</w:t>
      </w:r>
      <w:r w:rsidRPr="009E1205">
        <w:rPr>
          <w:sz w:val="28"/>
          <w:szCs w:val="28"/>
        </w:rPr>
        <w:t xml:space="preserve"> </w:t>
      </w:r>
      <w:r w:rsidR="00315D3C">
        <w:rPr>
          <w:sz w:val="28"/>
          <w:szCs w:val="28"/>
        </w:rPr>
        <w:t>ініціатив інститутів</w:t>
      </w:r>
      <w:r w:rsidRPr="009E1205">
        <w:rPr>
          <w:sz w:val="28"/>
          <w:szCs w:val="28"/>
        </w:rPr>
        <w:t xml:space="preserve"> громадянського суспільства </w:t>
      </w:r>
      <w:r w:rsidR="009453C5">
        <w:rPr>
          <w:sz w:val="28"/>
          <w:szCs w:val="28"/>
        </w:rPr>
        <w:t>(</w:t>
      </w:r>
      <w:r w:rsidR="009453C5">
        <w:rPr>
          <w:snapToGrid w:val="0"/>
          <w:sz w:val="28"/>
          <w:szCs w:val="28"/>
        </w:rPr>
        <w:t>на реалізацію проектів).</w:t>
      </w:r>
    </w:p>
    <w:p w:rsidR="005A0DCA" w:rsidRDefault="009453C5" w:rsidP="005A0DC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A4D42">
        <w:rPr>
          <w:sz w:val="28"/>
          <w:szCs w:val="28"/>
        </w:rPr>
        <w:t xml:space="preserve"> реалізацію П</w:t>
      </w:r>
      <w:r>
        <w:rPr>
          <w:sz w:val="28"/>
          <w:szCs w:val="28"/>
        </w:rPr>
        <w:t>рограми на 2016 рік</w:t>
      </w:r>
      <w:r w:rsidR="005A0DCA">
        <w:rPr>
          <w:sz w:val="28"/>
          <w:szCs w:val="28"/>
        </w:rPr>
        <w:t xml:space="preserve"> </w:t>
      </w:r>
      <w:r>
        <w:rPr>
          <w:sz w:val="28"/>
          <w:szCs w:val="28"/>
        </w:rPr>
        <w:t>з обласного бюджету виділено 70</w:t>
      </w:r>
      <w:r w:rsidR="005A0DCA">
        <w:rPr>
          <w:sz w:val="28"/>
          <w:szCs w:val="28"/>
        </w:rPr>
        <w:t>,0 тис.</w:t>
      </w:r>
      <w:r w:rsidR="00E92D6B">
        <w:rPr>
          <w:sz w:val="28"/>
          <w:szCs w:val="28"/>
        </w:rPr>
        <w:t xml:space="preserve"> </w:t>
      </w:r>
      <w:r w:rsidR="005A0DCA">
        <w:rPr>
          <w:sz w:val="28"/>
          <w:szCs w:val="28"/>
        </w:rPr>
        <w:t>грн.</w:t>
      </w:r>
    </w:p>
    <w:p w:rsidR="00727494" w:rsidRDefault="003A4D42" w:rsidP="003A4D4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коштів за П</w:t>
      </w:r>
      <w:r w:rsidR="00727494">
        <w:rPr>
          <w:sz w:val="28"/>
          <w:szCs w:val="28"/>
        </w:rPr>
        <w:t xml:space="preserve">рограмою </w:t>
      </w:r>
      <w:r w:rsidR="003B0E20">
        <w:rPr>
          <w:sz w:val="28"/>
          <w:szCs w:val="28"/>
        </w:rPr>
        <w:t>у 2016 році:</w:t>
      </w:r>
    </w:p>
    <w:p w:rsidR="00727494" w:rsidRDefault="00111115" w:rsidP="00315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3B0E20">
        <w:rPr>
          <w:sz w:val="28"/>
          <w:szCs w:val="28"/>
        </w:rPr>
        <w:t>з 70 тис. грн.</w:t>
      </w:r>
      <w:r>
        <w:rPr>
          <w:sz w:val="28"/>
          <w:szCs w:val="28"/>
        </w:rPr>
        <w:t>,</w:t>
      </w:r>
      <w:r w:rsidR="003B0E20">
        <w:rPr>
          <w:sz w:val="28"/>
          <w:szCs w:val="28"/>
        </w:rPr>
        <w:t xml:space="preserve"> виділених</w:t>
      </w:r>
      <w:r w:rsidR="00E92D6B">
        <w:rPr>
          <w:sz w:val="28"/>
          <w:szCs w:val="28"/>
        </w:rPr>
        <w:t xml:space="preserve"> </w:t>
      </w:r>
      <w:r w:rsidR="005A0DCA">
        <w:rPr>
          <w:sz w:val="28"/>
          <w:szCs w:val="28"/>
        </w:rPr>
        <w:t xml:space="preserve">на </w:t>
      </w:r>
      <w:r w:rsidR="003A4D42">
        <w:rPr>
          <w:sz w:val="28"/>
          <w:szCs w:val="28"/>
        </w:rPr>
        <w:t>з</w:t>
      </w:r>
      <w:r w:rsidR="003A4D42" w:rsidRPr="003A4D42">
        <w:rPr>
          <w:sz w:val="28"/>
          <w:szCs w:val="28"/>
        </w:rPr>
        <w:t xml:space="preserve">абезпечення діяльності громадської ради при облдержадміністрації </w:t>
      </w:r>
      <w:r w:rsidR="003A4D42">
        <w:rPr>
          <w:sz w:val="28"/>
          <w:szCs w:val="28"/>
        </w:rPr>
        <w:t>(</w:t>
      </w:r>
      <w:r w:rsidR="005A0DCA">
        <w:rPr>
          <w:sz w:val="28"/>
          <w:szCs w:val="28"/>
        </w:rPr>
        <w:t>утримання приміщення для громадської ради та забезпечення проведення консультацій з громадськіс</w:t>
      </w:r>
      <w:r w:rsidR="003A4D42">
        <w:rPr>
          <w:sz w:val="28"/>
          <w:szCs w:val="28"/>
        </w:rPr>
        <w:t xml:space="preserve">тю, круглих столів, обговорень та інших заходів) </w:t>
      </w:r>
      <w:r>
        <w:rPr>
          <w:sz w:val="28"/>
          <w:szCs w:val="28"/>
        </w:rPr>
        <w:t xml:space="preserve">у 2016 році </w:t>
      </w:r>
      <w:r w:rsidR="003A4D42">
        <w:rPr>
          <w:sz w:val="28"/>
          <w:szCs w:val="28"/>
        </w:rPr>
        <w:t>використано 44 852 грн.</w:t>
      </w:r>
      <w:r w:rsidR="005471D9">
        <w:rPr>
          <w:sz w:val="28"/>
          <w:szCs w:val="28"/>
        </w:rPr>
        <w:t>, що становить 64 %</w:t>
      </w:r>
      <w:r w:rsidR="00315D3C">
        <w:rPr>
          <w:sz w:val="28"/>
          <w:szCs w:val="28"/>
        </w:rPr>
        <w:t>.</w:t>
      </w:r>
    </w:p>
    <w:p w:rsidR="00315D3C" w:rsidRPr="00727494" w:rsidRDefault="00315D3C" w:rsidP="00315D3C">
      <w:pPr>
        <w:ind w:firstLine="708"/>
        <w:jc w:val="both"/>
        <w:rPr>
          <w:sz w:val="28"/>
          <w:szCs w:val="28"/>
        </w:rPr>
      </w:pPr>
    </w:p>
    <w:p w:rsidR="00727494" w:rsidRPr="00727494" w:rsidRDefault="00727494" w:rsidP="00727494">
      <w:pPr>
        <w:spacing w:after="120"/>
        <w:jc w:val="both"/>
        <w:rPr>
          <w:i/>
          <w:sz w:val="28"/>
          <w:szCs w:val="28"/>
        </w:rPr>
      </w:pPr>
      <w:r w:rsidRPr="00727494">
        <w:rPr>
          <w:i/>
          <w:sz w:val="28"/>
          <w:szCs w:val="28"/>
        </w:rPr>
        <w:t>На в</w:t>
      </w:r>
      <w:r>
        <w:rPr>
          <w:i/>
          <w:sz w:val="28"/>
          <w:szCs w:val="28"/>
        </w:rPr>
        <w:t>иконання завдань програми управл</w:t>
      </w:r>
      <w:r w:rsidRPr="00727494">
        <w:rPr>
          <w:i/>
          <w:sz w:val="28"/>
          <w:szCs w:val="28"/>
        </w:rPr>
        <w:t>інням:</w:t>
      </w:r>
    </w:p>
    <w:p w:rsidR="00315D3C" w:rsidRPr="00315D3C" w:rsidRDefault="00727494" w:rsidP="00727494">
      <w:pPr>
        <w:numPr>
          <w:ilvl w:val="0"/>
          <w:numId w:val="5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здійснюється залучення представників громадських організацій до публічних заходів не лише в якості учасників, а й співорганізаторів </w:t>
      </w:r>
      <w:r w:rsidR="00A17A80" w:rsidRPr="00A17A80">
        <w:rPr>
          <w:sz w:val="28"/>
          <w:szCs w:val="28"/>
          <w:shd w:val="clear" w:color="auto" w:fill="FFFFFF"/>
        </w:rPr>
        <w:t xml:space="preserve">Протягом 2016 року представниками громадянського суспільства </w:t>
      </w:r>
      <w:r w:rsidR="00315D3C">
        <w:rPr>
          <w:sz w:val="28"/>
          <w:szCs w:val="28"/>
          <w:shd w:val="clear" w:color="auto" w:fill="FFFFFF"/>
        </w:rPr>
        <w:t>активно долучалися до проведення масових заходів. Зокрема, заходи до Дня Конституції, Дня незалежності України, Дня пам’яті та примирення, Дня Соборності, Дня захисника України та інших заходів національно-патріотичного, культурного та суспільно значимого напрямків. За результатами такої співпраці «жива карта» України увійшла до топ-7 цікавих карт держави;</w:t>
      </w:r>
    </w:p>
    <w:p w:rsidR="005D6861" w:rsidRDefault="00727494" w:rsidP="008A32DB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враховуються ініціативи представників громадськості у підготовці заходів, участі у тренінгах, семінарах, залучення їх до спільної роботи (наприклад, організація спільних круглих столів, виїздів на семінари, моніторинг дос</w:t>
      </w:r>
      <w:r w:rsidR="009E74C9">
        <w:rPr>
          <w:sz w:val="28"/>
          <w:szCs w:val="28"/>
        </w:rPr>
        <w:t>тупності сайтів, спільні рейди)</w:t>
      </w:r>
      <w:r w:rsidR="009E74C9" w:rsidRPr="009E74C9">
        <w:rPr>
          <w:sz w:val="28"/>
          <w:szCs w:val="28"/>
        </w:rPr>
        <w:t xml:space="preserve">. </w:t>
      </w:r>
      <w:r w:rsidR="009E74C9" w:rsidRPr="0009083C">
        <w:rPr>
          <w:sz w:val="28"/>
          <w:szCs w:val="28"/>
        </w:rPr>
        <w:t xml:space="preserve">Зокрема, у </w:t>
      </w:r>
      <w:r w:rsidR="005D6861">
        <w:rPr>
          <w:sz w:val="28"/>
          <w:szCs w:val="28"/>
        </w:rPr>
        <w:t>2016</w:t>
      </w:r>
      <w:r w:rsidR="009E74C9">
        <w:rPr>
          <w:sz w:val="28"/>
          <w:szCs w:val="28"/>
        </w:rPr>
        <w:t xml:space="preserve"> році проведено</w:t>
      </w:r>
      <w:r w:rsidR="008A32DB">
        <w:rPr>
          <w:sz w:val="28"/>
          <w:szCs w:val="28"/>
        </w:rPr>
        <w:t xml:space="preserve"> більше </w:t>
      </w:r>
      <w:r w:rsidR="008A32DB" w:rsidRPr="008A32DB">
        <w:rPr>
          <w:sz w:val="28"/>
          <w:szCs w:val="28"/>
        </w:rPr>
        <w:t>20 круглих столів, де розглядались питання бюджетних коштів, комунальних тарифів, екології, видобутку бурштину, ЖКГ, оцінки землі, відновлення роботи промисловості, освіти, захисту дітей тощо. В рамках розширених засідань комісій відбувались зустрічі з представниками органів влади та правлін</w:t>
      </w:r>
      <w:r w:rsidR="00315D3C">
        <w:rPr>
          <w:sz w:val="28"/>
          <w:szCs w:val="28"/>
        </w:rPr>
        <w:t>ня, фахівцями в окремих галузях;</w:t>
      </w:r>
      <w:r w:rsidR="008A32DB" w:rsidRPr="008A32DB">
        <w:rPr>
          <w:sz w:val="28"/>
          <w:szCs w:val="28"/>
        </w:rPr>
        <w:t xml:space="preserve"> </w:t>
      </w:r>
    </w:p>
    <w:p w:rsidR="008A32DB" w:rsidRDefault="00315D3C" w:rsidP="00727494">
      <w:pPr>
        <w:numPr>
          <w:ilvl w:val="0"/>
          <w:numId w:val="5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надається сприяння в участі</w:t>
      </w:r>
      <w:r w:rsidR="008D77EE">
        <w:rPr>
          <w:sz w:val="28"/>
          <w:szCs w:val="28"/>
        </w:rPr>
        <w:t xml:space="preserve"> представників громадськості Житомирщини у семінарах та тренінгах з підвищення впливу громадянського суспільства у </w:t>
      </w:r>
      <w:r w:rsidR="008D77EE">
        <w:rPr>
          <w:sz w:val="28"/>
          <w:szCs w:val="28"/>
        </w:rPr>
        <w:lastRenderedPageBreak/>
        <w:t>реалізації державної політики, ефективності роботи громадських рад, їх співпрац</w:t>
      </w:r>
      <w:r>
        <w:rPr>
          <w:sz w:val="28"/>
          <w:szCs w:val="28"/>
        </w:rPr>
        <w:t>і з міжнародними організаціями;</w:t>
      </w:r>
    </w:p>
    <w:p w:rsidR="008A32DB" w:rsidRDefault="00727494" w:rsidP="008A32DB">
      <w:pPr>
        <w:numPr>
          <w:ilvl w:val="0"/>
          <w:numId w:val="5"/>
        </w:numPr>
        <w:spacing w:after="120"/>
        <w:ind w:left="284" w:hanging="284"/>
        <w:jc w:val="both"/>
        <w:rPr>
          <w:sz w:val="28"/>
          <w:szCs w:val="28"/>
        </w:rPr>
      </w:pPr>
      <w:r w:rsidRPr="00060C00">
        <w:rPr>
          <w:sz w:val="28"/>
          <w:szCs w:val="28"/>
        </w:rPr>
        <w:t>ведеться координація роботи громадської та гуманітар</w:t>
      </w:r>
      <w:r w:rsidR="00235A9E" w:rsidRPr="00060C00">
        <w:rPr>
          <w:sz w:val="28"/>
          <w:szCs w:val="28"/>
        </w:rPr>
        <w:t>ної рад при облдержадміністрації</w:t>
      </w:r>
      <w:r w:rsidRPr="00060C00">
        <w:rPr>
          <w:sz w:val="28"/>
          <w:szCs w:val="28"/>
        </w:rPr>
        <w:t xml:space="preserve"> (сприяння в організації</w:t>
      </w:r>
      <w:r w:rsidR="00060C00">
        <w:rPr>
          <w:sz w:val="28"/>
          <w:szCs w:val="28"/>
        </w:rPr>
        <w:t xml:space="preserve"> засідань ініціативних груп, установчих та загальних зборів тимчасових дорадчо-консультативних органів при облдержадміністрації,</w:t>
      </w:r>
      <w:r w:rsidRPr="00060C00">
        <w:rPr>
          <w:sz w:val="28"/>
          <w:szCs w:val="28"/>
        </w:rPr>
        <w:t xml:space="preserve"> спільна розробка документів, врахування </w:t>
      </w:r>
      <w:r w:rsidR="00F16A40">
        <w:rPr>
          <w:sz w:val="28"/>
          <w:szCs w:val="28"/>
        </w:rPr>
        <w:t>пропозицій);</w:t>
      </w:r>
    </w:p>
    <w:p w:rsidR="00F16A40" w:rsidRDefault="00F16A40" w:rsidP="008A32DB">
      <w:pPr>
        <w:numPr>
          <w:ilvl w:val="0"/>
          <w:numId w:val="5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ведеться робота щодо створення координаційної ради з розвитку громадянського суспільства в Житомирській області;</w:t>
      </w:r>
    </w:p>
    <w:p w:rsidR="00111115" w:rsidRDefault="00727494" w:rsidP="00111115">
      <w:pPr>
        <w:numPr>
          <w:ilvl w:val="0"/>
          <w:numId w:val="5"/>
        </w:numPr>
        <w:spacing w:after="120"/>
        <w:ind w:right="17"/>
        <w:jc w:val="both"/>
        <w:rPr>
          <w:sz w:val="28"/>
          <w:szCs w:val="28"/>
        </w:rPr>
      </w:pPr>
      <w:r w:rsidRPr="00F16A40">
        <w:rPr>
          <w:sz w:val="28"/>
          <w:szCs w:val="28"/>
        </w:rPr>
        <w:t xml:space="preserve">здійснюється координація роботи Центру допомоги учасникам АТО. Центр був поставлений за приклад організації роботи іншим областям України. </w:t>
      </w:r>
      <w:r w:rsidR="00F16A40" w:rsidRPr="00F16A40">
        <w:rPr>
          <w:sz w:val="28"/>
          <w:szCs w:val="28"/>
        </w:rPr>
        <w:t>Підсумки роботи Центру у 2016 році: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>кількість звернень – 2944 особи (кожне звернення – 3-4 питання); повністю вирішені – 2379 (80%);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 xml:space="preserve">проведено </w:t>
      </w:r>
      <w:proofErr w:type="spellStart"/>
      <w:r w:rsidR="00F16A40" w:rsidRPr="00F16A40">
        <w:rPr>
          <w:sz w:val="28"/>
          <w:szCs w:val="28"/>
        </w:rPr>
        <w:t>обдзвін</w:t>
      </w:r>
      <w:proofErr w:type="spellEnd"/>
      <w:r w:rsidR="00F16A40" w:rsidRPr="00F16A40">
        <w:rPr>
          <w:sz w:val="28"/>
          <w:szCs w:val="28"/>
        </w:rPr>
        <w:t xml:space="preserve"> для визначення і вирішення проблемних питань – 259 родин загиблих та 2400 демобілізованих; проводяться моніторингові обдзвони щодо якості вирішення питань, надання медичних послуг, реабілітації;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>виїзні прийоми – у кожному районі, у військових частинах, шпиталі проведено зустрічі з учасниками АТО з роз’ясненням їх прав, інформуванням про програми підтримки, допомогу, контрактну армію;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>організовано відпочинок дітей учасників АТО – Артек, Пуща-Водиця, Славське, до Хорватії;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 xml:space="preserve">культурно-розважальні поїздки – щомісяця проводилися поїздки дітей та родин військовослужбовців до Національного цирку, зоопарку, на футбол, кондитерську фабрику, </w:t>
      </w:r>
      <w:proofErr w:type="spellStart"/>
      <w:r w:rsidR="00F16A40" w:rsidRPr="00F16A40">
        <w:rPr>
          <w:sz w:val="28"/>
          <w:szCs w:val="28"/>
        </w:rPr>
        <w:t>фабрику</w:t>
      </w:r>
      <w:proofErr w:type="spellEnd"/>
      <w:r w:rsidR="00F16A40" w:rsidRPr="00F16A40">
        <w:rPr>
          <w:sz w:val="28"/>
          <w:szCs w:val="28"/>
        </w:rPr>
        <w:t xml:space="preserve"> ялинкових іграшок, до навчальних таборів. Охоплено – понад 700 дітей;</w:t>
      </w:r>
      <w:r w:rsidR="00F16A40">
        <w:rPr>
          <w:sz w:val="28"/>
          <w:szCs w:val="28"/>
        </w:rPr>
        <w:t xml:space="preserve"> </w:t>
      </w:r>
      <w:r w:rsidR="00F16A40" w:rsidRPr="00F16A40">
        <w:rPr>
          <w:sz w:val="28"/>
          <w:szCs w:val="28"/>
        </w:rPr>
        <w:t>масові заходи – День захисника України, День волонтера, вечори пам’яті, конкурси «Оберіг для захисн</w:t>
      </w:r>
      <w:r w:rsidR="00F16A40">
        <w:rPr>
          <w:sz w:val="28"/>
          <w:szCs w:val="28"/>
        </w:rPr>
        <w:t xml:space="preserve">ика», зустрічі демобілізованих. </w:t>
      </w:r>
      <w:r w:rsidR="00F16A40" w:rsidRPr="00F16A40">
        <w:rPr>
          <w:sz w:val="28"/>
          <w:szCs w:val="28"/>
        </w:rPr>
        <w:t>Формат робот</w:t>
      </w:r>
      <w:r w:rsidR="00F16A40">
        <w:rPr>
          <w:sz w:val="28"/>
          <w:szCs w:val="28"/>
        </w:rPr>
        <w:t>и Центру допомоги учасникам АТО – за принципом «єдиного вікна», виїзні прийоми, м</w:t>
      </w:r>
      <w:r w:rsidR="00F16A40" w:rsidRPr="00F16A40">
        <w:rPr>
          <w:sz w:val="28"/>
          <w:szCs w:val="28"/>
        </w:rPr>
        <w:t>оніторинг якості вирішених питань (спеціалісти Центру у телефонному режимі перевіряють задоволення/не</w:t>
      </w:r>
      <w:r w:rsidR="00111115">
        <w:rPr>
          <w:sz w:val="28"/>
          <w:szCs w:val="28"/>
        </w:rPr>
        <w:t>задоволення вирішеним питанням).</w:t>
      </w:r>
    </w:p>
    <w:p w:rsidR="00F16A40" w:rsidRPr="00111115" w:rsidRDefault="00111115" w:rsidP="00111115">
      <w:pPr>
        <w:spacing w:after="120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D77EE" w:rsidRPr="00111115">
        <w:rPr>
          <w:sz w:val="28"/>
          <w:szCs w:val="28"/>
        </w:rPr>
        <w:t>а час дії програми посилилася участь громадськості в реалізації державної політики, діяльності місцевих органів влади, впливі на прийняття суспільно важливих рішень. Зросла активність інститутів громадянського суспільства та посилився громадський контроль за діяльністю органів влади.</w:t>
      </w:r>
      <w:r w:rsidR="00F16A40" w:rsidRPr="00111115">
        <w:rPr>
          <w:sz w:val="28"/>
          <w:szCs w:val="28"/>
        </w:rPr>
        <w:t xml:space="preserve"> </w:t>
      </w:r>
    </w:p>
    <w:p w:rsidR="00111115" w:rsidRDefault="00111115" w:rsidP="00111115">
      <w:pPr>
        <w:spacing w:after="120"/>
        <w:ind w:right="17" w:firstLine="708"/>
        <w:jc w:val="both"/>
        <w:rPr>
          <w:sz w:val="28"/>
          <w:szCs w:val="28"/>
        </w:rPr>
      </w:pPr>
      <w:r w:rsidRPr="00F16A40">
        <w:rPr>
          <w:sz w:val="28"/>
          <w:szCs w:val="28"/>
        </w:rPr>
        <w:t>Очікується, що після проведення конкурсу з підтримки ініціатив інститутів громадянського суспільства активність громадського сектору області суттєво зросте, як і ефективність співпраці ІГС</w:t>
      </w:r>
      <w:r>
        <w:rPr>
          <w:sz w:val="28"/>
          <w:szCs w:val="28"/>
        </w:rPr>
        <w:t xml:space="preserve"> з органами влади</w:t>
      </w:r>
      <w:r w:rsidRPr="00F16A40">
        <w:rPr>
          <w:sz w:val="28"/>
          <w:szCs w:val="28"/>
        </w:rPr>
        <w:t>, що вимірюватиметься результатами від втілення соціальних проектів.</w:t>
      </w:r>
      <w:r>
        <w:rPr>
          <w:sz w:val="28"/>
          <w:szCs w:val="28"/>
        </w:rPr>
        <w:t xml:space="preserve"> </w:t>
      </w:r>
    </w:p>
    <w:p w:rsidR="00111115" w:rsidRPr="00060C00" w:rsidRDefault="00111115" w:rsidP="00111115">
      <w:pPr>
        <w:spacing w:after="120"/>
        <w:ind w:right="17" w:firstLine="708"/>
        <w:jc w:val="both"/>
        <w:rPr>
          <w:sz w:val="28"/>
          <w:szCs w:val="28"/>
        </w:rPr>
      </w:pPr>
    </w:p>
    <w:sectPr w:rsidR="00111115" w:rsidRPr="00060C00" w:rsidSect="000A1948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DD6"/>
    <w:multiLevelType w:val="hybridMultilevel"/>
    <w:tmpl w:val="3A88D3BE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5B55"/>
    <w:multiLevelType w:val="hybridMultilevel"/>
    <w:tmpl w:val="4B902C38"/>
    <w:lvl w:ilvl="0" w:tplc="7B5C1B1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870DA7"/>
    <w:multiLevelType w:val="hybridMultilevel"/>
    <w:tmpl w:val="1E88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B4F5A"/>
    <w:multiLevelType w:val="hybridMultilevel"/>
    <w:tmpl w:val="FD00741C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754E"/>
    <w:multiLevelType w:val="hybridMultilevel"/>
    <w:tmpl w:val="0440662A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218F"/>
    <w:multiLevelType w:val="hybridMultilevel"/>
    <w:tmpl w:val="2DC2EC50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1501"/>
    <w:multiLevelType w:val="hybridMultilevel"/>
    <w:tmpl w:val="F888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06830"/>
    <w:multiLevelType w:val="hybridMultilevel"/>
    <w:tmpl w:val="0F5EF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7461A"/>
    <w:multiLevelType w:val="hybridMultilevel"/>
    <w:tmpl w:val="3D8695BE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B1CB9"/>
    <w:multiLevelType w:val="hybridMultilevel"/>
    <w:tmpl w:val="35FA0B86"/>
    <w:lvl w:ilvl="0" w:tplc="7B5C1B1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3133"/>
    <w:multiLevelType w:val="hybridMultilevel"/>
    <w:tmpl w:val="482AD2A2"/>
    <w:lvl w:ilvl="0" w:tplc="7B5C1B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7"/>
    <w:rsid w:val="000445E7"/>
    <w:rsid w:val="00060C00"/>
    <w:rsid w:val="0009083C"/>
    <w:rsid w:val="00111115"/>
    <w:rsid w:val="00181B38"/>
    <w:rsid w:val="00193A6B"/>
    <w:rsid w:val="001B3FBF"/>
    <w:rsid w:val="00235A9E"/>
    <w:rsid w:val="00315D3C"/>
    <w:rsid w:val="003A4D42"/>
    <w:rsid w:val="003B0E20"/>
    <w:rsid w:val="005471D9"/>
    <w:rsid w:val="005A0DCA"/>
    <w:rsid w:val="005D6861"/>
    <w:rsid w:val="006C390F"/>
    <w:rsid w:val="00727494"/>
    <w:rsid w:val="008A32DB"/>
    <w:rsid w:val="008D1105"/>
    <w:rsid w:val="008D77EE"/>
    <w:rsid w:val="009453C5"/>
    <w:rsid w:val="0099615D"/>
    <w:rsid w:val="009E74C9"/>
    <w:rsid w:val="00A17A80"/>
    <w:rsid w:val="00A80F2F"/>
    <w:rsid w:val="00B50F17"/>
    <w:rsid w:val="00C02DCC"/>
    <w:rsid w:val="00E92D6B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A0DCA"/>
    <w:pPr>
      <w:keepNext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DCA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5A0DCA"/>
    <w:pPr>
      <w:autoSpaceDE w:val="0"/>
      <w:autoSpaceDN w:val="0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5A0DCA"/>
    <w:pPr>
      <w:autoSpaceDE w:val="0"/>
      <w:autoSpaceDN w:val="0"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5">
    <w:name w:val="Название Знак"/>
    <w:basedOn w:val="a0"/>
    <w:link w:val="a4"/>
    <w:rsid w:val="005A0DC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5A0DCA"/>
    <w:pPr>
      <w:autoSpaceDE w:val="0"/>
      <w:autoSpaceDN w:val="0"/>
      <w:spacing w:after="60"/>
      <w:jc w:val="center"/>
    </w:pPr>
    <w:rPr>
      <w:rFonts w:ascii="Arial" w:hAnsi="Arial"/>
      <w:sz w:val="24"/>
      <w:lang w:val="ru-RU"/>
    </w:rPr>
  </w:style>
  <w:style w:type="character" w:customStyle="1" w:styleId="a7">
    <w:name w:val="Подзаголовок Знак"/>
    <w:basedOn w:val="a0"/>
    <w:link w:val="a6"/>
    <w:rsid w:val="005A0DC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A0DC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A0D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5A0DC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5A0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D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Normal (Web)"/>
    <w:basedOn w:val="a"/>
    <w:rsid w:val="009E74C9"/>
    <w:pPr>
      <w:spacing w:before="45" w:after="15"/>
      <w:ind w:left="15" w:right="15" w:firstLine="300"/>
      <w:jc w:val="both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E74C9"/>
  </w:style>
  <w:style w:type="character" w:styleId="ae">
    <w:name w:val="Hyperlink"/>
    <w:basedOn w:val="a0"/>
    <w:uiPriority w:val="99"/>
    <w:unhideWhenUsed/>
    <w:rsid w:val="00044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A0DCA"/>
    <w:pPr>
      <w:keepNext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DCA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5A0DCA"/>
    <w:pPr>
      <w:autoSpaceDE w:val="0"/>
      <w:autoSpaceDN w:val="0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5A0DCA"/>
    <w:pPr>
      <w:autoSpaceDE w:val="0"/>
      <w:autoSpaceDN w:val="0"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5">
    <w:name w:val="Название Знак"/>
    <w:basedOn w:val="a0"/>
    <w:link w:val="a4"/>
    <w:rsid w:val="005A0DC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5A0DCA"/>
    <w:pPr>
      <w:autoSpaceDE w:val="0"/>
      <w:autoSpaceDN w:val="0"/>
      <w:spacing w:after="60"/>
      <w:jc w:val="center"/>
    </w:pPr>
    <w:rPr>
      <w:rFonts w:ascii="Arial" w:hAnsi="Arial"/>
      <w:sz w:val="24"/>
      <w:lang w:val="ru-RU"/>
    </w:rPr>
  </w:style>
  <w:style w:type="character" w:customStyle="1" w:styleId="a7">
    <w:name w:val="Подзаголовок Знак"/>
    <w:basedOn w:val="a0"/>
    <w:link w:val="a6"/>
    <w:rsid w:val="005A0DC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A0DC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A0D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5A0DC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5A0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D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Normal (Web)"/>
    <w:basedOn w:val="a"/>
    <w:rsid w:val="009E74C9"/>
    <w:pPr>
      <w:spacing w:before="45" w:after="15"/>
      <w:ind w:left="15" w:right="15" w:firstLine="300"/>
      <w:jc w:val="both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E74C9"/>
  </w:style>
  <w:style w:type="character" w:styleId="ae">
    <w:name w:val="Hyperlink"/>
    <w:basedOn w:val="a0"/>
    <w:uiPriority w:val="99"/>
    <w:unhideWhenUsed/>
    <w:rsid w:val="0004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A0D8-8BBE-4374-89B0-D2874E41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Grigorjeva</dc:creator>
  <cp:lastModifiedBy>Олександр Дорожинський</cp:lastModifiedBy>
  <cp:revision>3</cp:revision>
  <cp:lastPrinted>2015-12-30T15:20:00Z</cp:lastPrinted>
  <dcterms:created xsi:type="dcterms:W3CDTF">2017-03-27T13:36:00Z</dcterms:created>
  <dcterms:modified xsi:type="dcterms:W3CDTF">2017-03-27T14:01:00Z</dcterms:modified>
</cp:coreProperties>
</file>