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C9" w:rsidRDefault="00EE4BC9" w:rsidP="00EE4BC9">
      <w:pPr>
        <w:jc w:val="right"/>
        <w:rPr>
          <w:sz w:val="28"/>
          <w:szCs w:val="28"/>
        </w:rPr>
      </w:pPr>
    </w:p>
    <w:p w:rsidR="004D313D" w:rsidRDefault="00A80C44" w:rsidP="00056FC4">
      <w:pPr>
        <w:jc w:val="center"/>
        <w:rPr>
          <w:sz w:val="28"/>
          <w:szCs w:val="28"/>
        </w:rPr>
      </w:pPr>
      <w:bookmarkStart w:id="0" w:name="_GoBack"/>
      <w:r>
        <w:rPr>
          <w:sz w:val="28"/>
          <w:szCs w:val="28"/>
        </w:rPr>
        <w:t>Інформація про в</w:t>
      </w:r>
      <w:r w:rsidR="00056FC4" w:rsidRPr="00056FC4">
        <w:rPr>
          <w:sz w:val="28"/>
          <w:szCs w:val="28"/>
        </w:rPr>
        <w:t>иконання заходів обласної Програми</w:t>
      </w:r>
      <w:r w:rsidR="00056FC4">
        <w:rPr>
          <w:sz w:val="28"/>
          <w:szCs w:val="28"/>
        </w:rPr>
        <w:t xml:space="preserve"> </w:t>
      </w:r>
      <w:r w:rsidR="00056FC4" w:rsidRPr="00056FC4">
        <w:rPr>
          <w:sz w:val="28"/>
          <w:szCs w:val="28"/>
        </w:rPr>
        <w:t>поліпшення стану безпеки, гігієни праці та виробничого середовища за 201</w:t>
      </w:r>
      <w:r w:rsidR="00446D6A">
        <w:rPr>
          <w:sz w:val="28"/>
          <w:szCs w:val="28"/>
        </w:rPr>
        <w:t>7</w:t>
      </w:r>
      <w:r w:rsidR="00056FC4" w:rsidRPr="00056FC4">
        <w:rPr>
          <w:sz w:val="28"/>
          <w:szCs w:val="28"/>
        </w:rPr>
        <w:t xml:space="preserve"> рік</w:t>
      </w:r>
      <w:bookmarkEnd w:id="0"/>
    </w:p>
    <w:p w:rsidR="00BD4E81" w:rsidRDefault="00BD4E81" w:rsidP="00056FC4">
      <w:pPr>
        <w:jc w:val="center"/>
        <w:rPr>
          <w:sz w:val="28"/>
          <w:szCs w:val="28"/>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261"/>
        <w:gridCol w:w="6237"/>
      </w:tblGrid>
      <w:tr w:rsidR="006419D2" w:rsidRPr="00B315A2" w:rsidTr="00190651">
        <w:trPr>
          <w:trHeight w:val="587"/>
        </w:trPr>
        <w:tc>
          <w:tcPr>
            <w:tcW w:w="567" w:type="dxa"/>
            <w:vAlign w:val="center"/>
          </w:tcPr>
          <w:p w:rsidR="006419D2" w:rsidRPr="00B315A2" w:rsidRDefault="006419D2" w:rsidP="00B315A2">
            <w:pPr>
              <w:jc w:val="center"/>
              <w:rPr>
                <w:b/>
                <w:bCs/>
              </w:rPr>
            </w:pPr>
            <w:r w:rsidRPr="00B315A2">
              <w:rPr>
                <w:b/>
              </w:rPr>
              <w:t>№ з/п</w:t>
            </w:r>
          </w:p>
        </w:tc>
        <w:tc>
          <w:tcPr>
            <w:tcW w:w="3261" w:type="dxa"/>
            <w:vAlign w:val="center"/>
          </w:tcPr>
          <w:p w:rsidR="006419D2" w:rsidRPr="00B315A2" w:rsidRDefault="006419D2" w:rsidP="00B315A2">
            <w:pPr>
              <w:jc w:val="center"/>
              <w:rPr>
                <w:b/>
                <w:bCs/>
              </w:rPr>
            </w:pPr>
            <w:r w:rsidRPr="00B315A2">
              <w:rPr>
                <w:b/>
              </w:rPr>
              <w:t>Найменування заходу</w:t>
            </w:r>
          </w:p>
        </w:tc>
        <w:tc>
          <w:tcPr>
            <w:tcW w:w="6237" w:type="dxa"/>
            <w:vAlign w:val="center"/>
          </w:tcPr>
          <w:p w:rsidR="006419D2" w:rsidRPr="00B315A2" w:rsidRDefault="006419D2" w:rsidP="00B315A2">
            <w:pPr>
              <w:jc w:val="center"/>
              <w:rPr>
                <w:b/>
                <w:bCs/>
              </w:rPr>
            </w:pPr>
            <w:r w:rsidRPr="00B315A2">
              <w:rPr>
                <w:b/>
              </w:rPr>
              <w:t>Виконання заходів</w:t>
            </w:r>
          </w:p>
        </w:tc>
      </w:tr>
    </w:tbl>
    <w:p w:rsidR="00015F85" w:rsidRPr="006419D2" w:rsidRDefault="00015F85">
      <w:pPr>
        <w:rPr>
          <w:sz w:val="2"/>
          <w:szCs w:val="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6237"/>
      </w:tblGrid>
      <w:tr w:rsidR="00015F85" w:rsidRPr="00FB598C" w:rsidTr="00190651">
        <w:trPr>
          <w:trHeight w:val="308"/>
          <w:tblHeader/>
        </w:trPr>
        <w:tc>
          <w:tcPr>
            <w:tcW w:w="567" w:type="dxa"/>
            <w:vAlign w:val="center"/>
          </w:tcPr>
          <w:p w:rsidR="00015F85" w:rsidRPr="00FB598C" w:rsidRDefault="006419D2" w:rsidP="00056FC4">
            <w:pPr>
              <w:jc w:val="center"/>
              <w:rPr>
                <w:b/>
                <w:bCs/>
              </w:rPr>
            </w:pPr>
            <w:r>
              <w:rPr>
                <w:b/>
              </w:rPr>
              <w:t>1</w:t>
            </w:r>
          </w:p>
        </w:tc>
        <w:tc>
          <w:tcPr>
            <w:tcW w:w="3261" w:type="dxa"/>
            <w:vAlign w:val="center"/>
          </w:tcPr>
          <w:p w:rsidR="00015F85" w:rsidRPr="00FB598C" w:rsidRDefault="006419D2" w:rsidP="00056FC4">
            <w:pPr>
              <w:jc w:val="center"/>
              <w:rPr>
                <w:b/>
                <w:bCs/>
              </w:rPr>
            </w:pPr>
            <w:r>
              <w:rPr>
                <w:b/>
              </w:rPr>
              <w:t>2</w:t>
            </w:r>
          </w:p>
        </w:tc>
        <w:tc>
          <w:tcPr>
            <w:tcW w:w="6237" w:type="dxa"/>
            <w:vAlign w:val="center"/>
          </w:tcPr>
          <w:p w:rsidR="00015F85" w:rsidRPr="0041789A" w:rsidRDefault="006419D2" w:rsidP="00056FC4">
            <w:pPr>
              <w:jc w:val="center"/>
              <w:rPr>
                <w:b/>
                <w:bCs/>
              </w:rPr>
            </w:pPr>
            <w:r w:rsidRPr="0041789A">
              <w:rPr>
                <w:b/>
              </w:rPr>
              <w:t>3</w:t>
            </w:r>
          </w:p>
        </w:tc>
      </w:tr>
      <w:tr w:rsidR="00017EB5" w:rsidRPr="00FB598C" w:rsidTr="00190651">
        <w:trPr>
          <w:trHeight w:val="338"/>
        </w:trPr>
        <w:tc>
          <w:tcPr>
            <w:tcW w:w="567" w:type="dxa"/>
          </w:tcPr>
          <w:p w:rsidR="00017EB5" w:rsidRPr="00FB598C" w:rsidRDefault="00017EB5" w:rsidP="00056FC4">
            <w:pPr>
              <w:jc w:val="center"/>
            </w:pPr>
            <w:r w:rsidRPr="00FB598C">
              <w:t>1.</w:t>
            </w:r>
          </w:p>
        </w:tc>
        <w:tc>
          <w:tcPr>
            <w:tcW w:w="3261" w:type="dxa"/>
          </w:tcPr>
          <w:p w:rsidR="00017EB5" w:rsidRPr="00FB598C" w:rsidRDefault="00017EB5" w:rsidP="00056FC4">
            <w:r w:rsidRPr="00FB598C">
              <w:t xml:space="preserve">Організаційно-методичне забезпечення розробки та впровадження системи управління охороною праці на суб’єктах господарювання області </w:t>
            </w:r>
          </w:p>
          <w:p w:rsidR="00017EB5" w:rsidRPr="00FB598C" w:rsidRDefault="00017EB5" w:rsidP="00056FC4"/>
        </w:tc>
        <w:tc>
          <w:tcPr>
            <w:tcW w:w="6237" w:type="dxa"/>
          </w:tcPr>
          <w:p w:rsidR="00017EB5" w:rsidRPr="0041789A" w:rsidRDefault="00D63462" w:rsidP="00E37227">
            <w:pPr>
              <w:ind w:firstLine="601"/>
              <w:jc w:val="both"/>
            </w:pPr>
            <w:r w:rsidRPr="0041789A">
              <w:t>У 201</w:t>
            </w:r>
            <w:r w:rsidR="00674267" w:rsidRPr="0041789A">
              <w:t>7</w:t>
            </w:r>
            <w:r w:rsidRPr="0041789A">
              <w:t xml:space="preserve"> році страховими експертами з охорони праці відділень виконавчої дирекції Фонду соціального страхування від нещасних випадків на виробництві та профзахворювань у Житомирській області взято участь у впровадженні та опрацюванні системи управління охороною праці</w:t>
            </w:r>
            <w:r w:rsidR="00C027AC" w:rsidRPr="0041789A">
              <w:t xml:space="preserve"> (СУОП)</w:t>
            </w:r>
            <w:r w:rsidRPr="0041789A">
              <w:t xml:space="preserve"> на </w:t>
            </w:r>
            <w:r w:rsidR="00674267" w:rsidRPr="0041789A">
              <w:t>478</w:t>
            </w:r>
            <w:r w:rsidRPr="0041789A">
              <w:t xml:space="preserve"> підприємствах області.</w:t>
            </w:r>
          </w:p>
          <w:p w:rsidR="00D63462" w:rsidRPr="0041789A" w:rsidRDefault="00D63462" w:rsidP="00E37227">
            <w:pPr>
              <w:ind w:firstLine="601"/>
              <w:jc w:val="both"/>
            </w:pPr>
            <w:r w:rsidRPr="0041789A">
              <w:t xml:space="preserve">В тому числі на таких підприємствах: </w:t>
            </w:r>
            <w:r w:rsidR="00BD4E81" w:rsidRPr="0041789A">
              <w:t xml:space="preserve">                            </w:t>
            </w:r>
            <w:r w:rsidR="00674267" w:rsidRPr="0041789A">
              <w:t>Андрушівський професійний ліцей, Бровківська хлібоприймальна госпрозрахункова дільниця ДАК „Хліб України”, ПСП „Кам'янка”, СФГ „Родючість”, ТОВ „Попільнянський комбікормовий завод”</w:t>
            </w:r>
            <w:r w:rsidR="00C027AC" w:rsidRPr="0041789A">
              <w:t xml:space="preserve"> та інші.</w:t>
            </w:r>
            <w:r w:rsidR="00674267" w:rsidRPr="0041789A">
              <w:t xml:space="preserve"> У м. Житомирі </w:t>
            </w:r>
            <w:r w:rsidR="00A42CFD">
              <w:t>та</w:t>
            </w:r>
            <w:r w:rsidR="00674267" w:rsidRPr="0041789A">
              <w:t xml:space="preserve"> житомирському районі взя</w:t>
            </w:r>
            <w:r w:rsidR="00A42CFD">
              <w:t>т</w:t>
            </w:r>
            <w:r w:rsidR="00674267" w:rsidRPr="0041789A">
              <w:t xml:space="preserve">о участь в опрацюванні та впровадженні СУОП на підприємствах: ТОВ „Фабрика Статус”, ТОВ „МЖК-інжиніринг”, ПАТ „Житомирський завод огороджувальних </w:t>
            </w:r>
            <w:r w:rsidR="0041789A" w:rsidRPr="0041789A">
              <w:t>конструкцій</w:t>
            </w:r>
            <w:r w:rsidR="00674267" w:rsidRPr="0041789A">
              <w:t>”</w:t>
            </w:r>
            <w:r w:rsidR="0041789A" w:rsidRPr="0041789A">
              <w:t xml:space="preserve"> та інші.</w:t>
            </w:r>
          </w:p>
          <w:p w:rsidR="00C027AC" w:rsidRPr="0041789A" w:rsidRDefault="00C027AC" w:rsidP="00E37227">
            <w:pPr>
              <w:ind w:firstLine="601"/>
              <w:jc w:val="both"/>
            </w:pPr>
            <w:r w:rsidRPr="0041789A">
              <w:t>При впровадженні СУОП надавалися зразки документів для функціонування СУОП</w:t>
            </w:r>
            <w:r w:rsidR="00A16055" w:rsidRPr="0041789A">
              <w:t xml:space="preserve"> на підприємст</w:t>
            </w:r>
            <w:r w:rsidR="002C0BB7" w:rsidRPr="0041789A">
              <w:t>вах під час нарад</w:t>
            </w:r>
            <w:r w:rsidR="00A16055" w:rsidRPr="0041789A">
              <w:t>,</w:t>
            </w:r>
            <w:r w:rsidR="002C0BB7" w:rsidRPr="0041789A">
              <w:t xml:space="preserve"> </w:t>
            </w:r>
            <w:r w:rsidR="00A16055" w:rsidRPr="0041789A">
              <w:t>семінарів. Надання консультацій та рекомендацій при розробці колективних договорів установах.</w:t>
            </w:r>
          </w:p>
          <w:p w:rsidR="002E7636" w:rsidRDefault="00A16055" w:rsidP="00190651">
            <w:pPr>
              <w:ind w:firstLine="601"/>
              <w:jc w:val="both"/>
            </w:pPr>
            <w:r w:rsidRPr="0041789A">
              <w:t>Розробка та впровадження системи управління охороною праці сприяє керованості та прогнозованості у сфері охорони праці, забезпечує якісний контроль за станом охорони праці, що сприяє зменшенню кількості аварій,нещасних випадків на виробництві та профес</w:t>
            </w:r>
            <w:r w:rsidR="00190651">
              <w:t>ійних захворювань.</w:t>
            </w:r>
          </w:p>
          <w:p w:rsidR="00190651" w:rsidRPr="00190651" w:rsidRDefault="00190651" w:rsidP="00190651">
            <w:pPr>
              <w:ind w:firstLine="601"/>
              <w:jc w:val="both"/>
              <w:rPr>
                <w:sz w:val="16"/>
                <w:szCs w:val="16"/>
              </w:rPr>
            </w:pPr>
          </w:p>
        </w:tc>
      </w:tr>
      <w:tr w:rsidR="00017EB5" w:rsidRPr="00E272D7" w:rsidTr="00190651">
        <w:trPr>
          <w:trHeight w:val="541"/>
        </w:trPr>
        <w:tc>
          <w:tcPr>
            <w:tcW w:w="567" w:type="dxa"/>
          </w:tcPr>
          <w:p w:rsidR="00017EB5" w:rsidRPr="00E272D7" w:rsidRDefault="00017EB5" w:rsidP="00056FC4">
            <w:pPr>
              <w:jc w:val="center"/>
            </w:pPr>
            <w:r w:rsidRPr="00E272D7">
              <w:t>2</w:t>
            </w:r>
          </w:p>
        </w:tc>
        <w:tc>
          <w:tcPr>
            <w:tcW w:w="3261" w:type="dxa"/>
          </w:tcPr>
          <w:p w:rsidR="00017EB5" w:rsidRPr="00E272D7" w:rsidRDefault="00017EB5" w:rsidP="00056FC4">
            <w:r w:rsidRPr="00E272D7">
              <w:t>Включення до колективних договорів і угод зобов’язань щодо створення безпечних і нешкідливих умов праці та забезпечення працівників соціальними гарантіями в сфері охорони праці на рівні, не нижчому за передбачений чинним законодавством</w:t>
            </w:r>
          </w:p>
          <w:p w:rsidR="00017EB5" w:rsidRPr="00E272D7" w:rsidRDefault="00017EB5" w:rsidP="00056FC4"/>
        </w:tc>
        <w:tc>
          <w:tcPr>
            <w:tcW w:w="6237" w:type="dxa"/>
          </w:tcPr>
          <w:p w:rsidR="0041789A" w:rsidRDefault="0041789A" w:rsidP="0041789A">
            <w:pPr>
              <w:ind w:firstLine="601"/>
              <w:jc w:val="both"/>
            </w:pPr>
            <w:r w:rsidRPr="0041789A">
              <w:t xml:space="preserve">Під час колдоговірної кампанії 2016-2017 років </w:t>
            </w:r>
            <w:r>
              <w:t xml:space="preserve">за участю представників профспілок на </w:t>
            </w:r>
            <w:r w:rsidRPr="0041789A">
              <w:t>суб’єктах господарювання області</w:t>
            </w:r>
            <w:r>
              <w:t xml:space="preserve"> проведено формування та укладання 2087</w:t>
            </w:r>
            <w:r w:rsidRPr="00A51C56">
              <w:t xml:space="preserve"> </w:t>
            </w:r>
            <w:r w:rsidRPr="003701BF">
              <w:t>колективн</w:t>
            </w:r>
            <w:r>
              <w:t>их договорів та угод, в яких передбачається забезпечення працівників соціальними гарантіями у галузі охорона праці на рівні, не нижчому за передбачений законодавством.</w:t>
            </w:r>
          </w:p>
          <w:p w:rsidR="0041789A" w:rsidRPr="0041789A" w:rsidRDefault="0041789A" w:rsidP="0041789A">
            <w:pPr>
              <w:ind w:firstLine="601"/>
              <w:jc w:val="both"/>
            </w:pPr>
            <w:r w:rsidRPr="0041789A">
              <w:t>Особливу увагу приділялось формуванню та реалізації комплексних заходів з охорони праці, а саме, джерелам їх фінансування та спрямовуванню цільових коштів тільки на підвищення існуючого рівня охорони праці.</w:t>
            </w:r>
          </w:p>
          <w:p w:rsidR="00E272D7" w:rsidRPr="0041789A" w:rsidRDefault="00E272D7" w:rsidP="00436670">
            <w:pPr>
              <w:ind w:firstLine="601"/>
              <w:jc w:val="both"/>
            </w:pPr>
            <w:r w:rsidRPr="0041789A">
              <w:t>В результаті багаторічної плідної співпраці соціальних партнерів підписана Генеральна угода на 2016-2017 роки з розділом «Умови та охорона праці».</w:t>
            </w:r>
          </w:p>
          <w:p w:rsidR="00471BBB" w:rsidRDefault="00E272D7" w:rsidP="00190651">
            <w:pPr>
              <w:ind w:firstLine="601"/>
              <w:jc w:val="both"/>
            </w:pPr>
            <w:r w:rsidRPr="0041789A">
              <w:t xml:space="preserve">Також, 21.12.2016 року підписана територіальна угода про регулювання основних принципів і норм </w:t>
            </w:r>
            <w:r w:rsidRPr="0041789A">
              <w:lastRenderedPageBreak/>
              <w:t>реалізації соціально-економічної політики і трудових відносин в області на 2016-2017 роки, в якій врегульовані питання співпраці сторін соціального діалогу в сфері охорони праці та здоров’я працюючих.</w:t>
            </w:r>
          </w:p>
          <w:p w:rsidR="00190651" w:rsidRPr="00190651" w:rsidRDefault="00190651" w:rsidP="00190651">
            <w:pPr>
              <w:ind w:firstLine="601"/>
              <w:jc w:val="both"/>
              <w:rPr>
                <w:sz w:val="16"/>
                <w:szCs w:val="16"/>
              </w:rPr>
            </w:pPr>
          </w:p>
        </w:tc>
      </w:tr>
      <w:tr w:rsidR="00017EB5" w:rsidRPr="00216B55" w:rsidTr="00190651">
        <w:trPr>
          <w:trHeight w:val="338"/>
        </w:trPr>
        <w:tc>
          <w:tcPr>
            <w:tcW w:w="567" w:type="dxa"/>
          </w:tcPr>
          <w:p w:rsidR="00017EB5" w:rsidRPr="00E37227" w:rsidRDefault="00017EB5" w:rsidP="007714B3">
            <w:r w:rsidRPr="00E37227">
              <w:lastRenderedPageBreak/>
              <w:t>3</w:t>
            </w:r>
          </w:p>
        </w:tc>
        <w:tc>
          <w:tcPr>
            <w:tcW w:w="3261" w:type="dxa"/>
          </w:tcPr>
          <w:p w:rsidR="00017EB5" w:rsidRPr="00E37227" w:rsidRDefault="00017EB5" w:rsidP="002E7636">
            <w:r w:rsidRPr="00E37227">
              <w:t xml:space="preserve">Висвітлення в ЗМІ інформації з питань охорони праці, стану безпеки, гігієни праці та </w:t>
            </w:r>
            <w:r w:rsidR="00F73AA5" w:rsidRPr="00E37227">
              <w:t xml:space="preserve">виробничого середовища, </w:t>
            </w:r>
            <w:r w:rsidR="006419D2" w:rsidRPr="00E37227">
              <w:t>профілактики нещасних випадків та професійних захворювань</w:t>
            </w:r>
          </w:p>
        </w:tc>
        <w:tc>
          <w:tcPr>
            <w:tcW w:w="6237" w:type="dxa"/>
          </w:tcPr>
          <w:p w:rsidR="00A96050" w:rsidRDefault="00A96050" w:rsidP="00E37227">
            <w:pPr>
              <w:ind w:firstLine="601"/>
              <w:jc w:val="both"/>
            </w:pPr>
            <w:r>
              <w:t xml:space="preserve">У 2017 році кошти на фінансування заходів, передбачених </w:t>
            </w:r>
            <w:r w:rsidRPr="00A96050">
              <w:t>регіональними програмами поліпшення стану безпеки, гігієни праці та виробничого середовища</w:t>
            </w:r>
            <w:r>
              <w:t xml:space="preserve"> </w:t>
            </w:r>
            <w:r w:rsidRPr="00A96050">
              <w:rPr>
                <w:b/>
              </w:rPr>
              <w:t>не виділялися</w:t>
            </w:r>
            <w:r>
              <w:t>.</w:t>
            </w:r>
          </w:p>
          <w:p w:rsidR="006419D2" w:rsidRPr="0041789A" w:rsidRDefault="00A96050" w:rsidP="00E37227">
            <w:pPr>
              <w:ind w:firstLine="601"/>
              <w:jc w:val="both"/>
            </w:pPr>
            <w:r>
              <w:t>Разом з тим у</w:t>
            </w:r>
            <w:r w:rsidR="00F73AA5" w:rsidRPr="0041789A">
              <w:t xml:space="preserve"> 201</w:t>
            </w:r>
            <w:r w:rsidR="0041789A" w:rsidRPr="0041789A">
              <w:t>7</w:t>
            </w:r>
            <w:r w:rsidR="00F73AA5" w:rsidRPr="0041789A">
              <w:t xml:space="preserve"> році у</w:t>
            </w:r>
            <w:r w:rsidR="00017EB5" w:rsidRPr="0041789A">
              <w:t xml:space="preserve">правлінням та відділеннями виконавчої дирекції Фонду соціального страхування від нещасних випадків на виробництві та профзахворювань у Житомирській області (ВД ФССНВ) підготовлено та опубліковано </w:t>
            </w:r>
            <w:r w:rsidR="0041789A" w:rsidRPr="0041789A">
              <w:t>69</w:t>
            </w:r>
            <w:r w:rsidR="00F73AA5" w:rsidRPr="0041789A">
              <w:t xml:space="preserve"> стат</w:t>
            </w:r>
            <w:r w:rsidR="0041789A" w:rsidRPr="0041789A">
              <w:t>ей</w:t>
            </w:r>
            <w:r w:rsidR="00F73AA5" w:rsidRPr="0041789A">
              <w:t xml:space="preserve"> та замітки в міських та районних ЗМІ щодо стану виробничого травматизму в регіоні,</w:t>
            </w:r>
            <w:r w:rsidR="009164B7" w:rsidRPr="0041789A">
              <w:t xml:space="preserve"> </w:t>
            </w:r>
            <w:r w:rsidR="00F73AA5" w:rsidRPr="0041789A">
              <w:t xml:space="preserve">профілактики </w:t>
            </w:r>
            <w:r w:rsidR="006419D2" w:rsidRPr="0041789A">
              <w:t>виробничого травматизму та стан охорони праці в регіонах.</w:t>
            </w:r>
          </w:p>
          <w:p w:rsidR="006419D2" w:rsidRPr="0041789A" w:rsidRDefault="006419D2" w:rsidP="006419D2">
            <w:pPr>
              <w:ind w:firstLine="655"/>
              <w:jc w:val="both"/>
            </w:pPr>
            <w:r w:rsidRPr="0041789A">
              <w:t xml:space="preserve">Зокрема, статті в обласних, міських та районних газетах </w:t>
            </w:r>
            <w:r w:rsidR="0041789A" w:rsidRPr="0041789A">
              <w:t>„Новий день”</w:t>
            </w:r>
            <w:r w:rsidRPr="0041789A">
              <w:t>, „Життя Чуднівщини”, „Земля Бердичівська”,</w:t>
            </w:r>
            <w:r w:rsidR="0041789A" w:rsidRPr="0041789A">
              <w:t xml:space="preserve"> „Ружинська земля”</w:t>
            </w:r>
            <w:r w:rsidRPr="0041789A">
              <w:t xml:space="preserve">  та інших.</w:t>
            </w:r>
          </w:p>
          <w:p w:rsidR="0041789A" w:rsidRPr="0041789A" w:rsidRDefault="00A96050" w:rsidP="00E37227">
            <w:pPr>
              <w:ind w:firstLine="601"/>
              <w:jc w:val="both"/>
            </w:pPr>
            <w:r>
              <w:t>Статті також розміщувались на</w:t>
            </w:r>
            <w:r w:rsidR="0041789A" w:rsidRPr="0041789A">
              <w:t xml:space="preserve"> </w:t>
            </w:r>
            <w:r w:rsidR="0041789A">
              <w:t xml:space="preserve">сайтах Житомирської міської ради, Коростенської міської ради, </w:t>
            </w:r>
            <w:r>
              <w:t>Новоград-Волинської міської ради.</w:t>
            </w:r>
          </w:p>
          <w:p w:rsidR="00471BBB" w:rsidRDefault="006419D2" w:rsidP="00190651">
            <w:pPr>
              <w:ind w:firstLine="601"/>
              <w:jc w:val="both"/>
            </w:pPr>
            <w:r w:rsidRPr="00A96050">
              <w:t xml:space="preserve">Здійснено </w:t>
            </w:r>
            <w:r w:rsidR="00E37227" w:rsidRPr="00A96050">
              <w:t>4</w:t>
            </w:r>
            <w:r w:rsidR="00A96050" w:rsidRPr="00A96050">
              <w:t>1</w:t>
            </w:r>
            <w:r w:rsidRPr="00A96050">
              <w:t xml:space="preserve"> виступів на радіо та телебаченні з питань роботи відділень та управління Фонду, профілактики виробничого травматизму, в тому числі висту</w:t>
            </w:r>
            <w:r w:rsidR="004175D8" w:rsidRPr="00A96050">
              <w:t>пи на FM 106,1 „Z</w:t>
            </w:r>
            <w:r w:rsidRPr="00A96050">
              <w:t>–радіо”, FM 104,5 „Житомирська хвиля”, Житомирське міське радіо”.</w:t>
            </w:r>
            <w:r w:rsidR="00E37227" w:rsidRPr="00A96050">
              <w:t xml:space="preserve"> </w:t>
            </w:r>
          </w:p>
          <w:p w:rsidR="00190651" w:rsidRPr="00190651" w:rsidRDefault="00190651" w:rsidP="00190651">
            <w:pPr>
              <w:ind w:firstLine="601"/>
              <w:jc w:val="both"/>
              <w:rPr>
                <w:sz w:val="16"/>
                <w:szCs w:val="16"/>
              </w:rPr>
            </w:pPr>
          </w:p>
        </w:tc>
      </w:tr>
      <w:tr w:rsidR="00EC1425" w:rsidRPr="00272C6D" w:rsidTr="00190651">
        <w:trPr>
          <w:trHeight w:val="399"/>
        </w:trPr>
        <w:tc>
          <w:tcPr>
            <w:tcW w:w="567" w:type="dxa"/>
          </w:tcPr>
          <w:p w:rsidR="00EC1425" w:rsidRPr="00272C6D" w:rsidRDefault="00EC1425" w:rsidP="007714B3">
            <w:r w:rsidRPr="00272C6D">
              <w:t>4</w:t>
            </w:r>
          </w:p>
        </w:tc>
        <w:tc>
          <w:tcPr>
            <w:tcW w:w="3261" w:type="dxa"/>
          </w:tcPr>
          <w:p w:rsidR="00EC1425" w:rsidRPr="00272C6D" w:rsidRDefault="00EC1425" w:rsidP="007714B3">
            <w:r w:rsidRPr="00272C6D">
              <w:t>Проведення регіональних конференцій семінарів, нарад, виставок, оглядів-конкурсів з питань охорони праці</w:t>
            </w:r>
          </w:p>
          <w:p w:rsidR="00EC1425" w:rsidRPr="00272C6D" w:rsidRDefault="00EC1425" w:rsidP="007714B3"/>
        </w:tc>
        <w:tc>
          <w:tcPr>
            <w:tcW w:w="6237" w:type="dxa"/>
          </w:tcPr>
          <w:p w:rsidR="00EC1425" w:rsidRPr="00A96050" w:rsidRDefault="00EC1425" w:rsidP="00B71289">
            <w:pPr>
              <w:ind w:firstLine="709"/>
              <w:jc w:val="both"/>
              <w:rPr>
                <w:szCs w:val="28"/>
              </w:rPr>
            </w:pPr>
            <w:r w:rsidRPr="00A96050">
              <w:rPr>
                <w:szCs w:val="28"/>
              </w:rPr>
              <w:t>У 201</w:t>
            </w:r>
            <w:r w:rsidR="00A96050" w:rsidRPr="00A96050">
              <w:rPr>
                <w:szCs w:val="28"/>
              </w:rPr>
              <w:t>7</w:t>
            </w:r>
            <w:r w:rsidRPr="00A96050">
              <w:rPr>
                <w:szCs w:val="28"/>
              </w:rPr>
              <w:t xml:space="preserve"> році кошти на фінансування заходів, передбачених регіональними програмами поліпшення стану безпеки, умов праці та виробничого середовища </w:t>
            </w:r>
            <w:r w:rsidRPr="00A96050">
              <w:rPr>
                <w:b/>
                <w:szCs w:val="28"/>
              </w:rPr>
              <w:t>не виділялись</w:t>
            </w:r>
            <w:r w:rsidRPr="00A96050">
              <w:rPr>
                <w:szCs w:val="28"/>
              </w:rPr>
              <w:t>.</w:t>
            </w:r>
          </w:p>
          <w:p w:rsidR="00EC1425" w:rsidRPr="00A96050" w:rsidRDefault="00EC1425" w:rsidP="00B71289">
            <w:pPr>
              <w:ind w:firstLine="709"/>
              <w:jc w:val="both"/>
              <w:rPr>
                <w:szCs w:val="28"/>
              </w:rPr>
            </w:pPr>
            <w:r w:rsidRPr="00A96050">
              <w:rPr>
                <w:szCs w:val="28"/>
              </w:rPr>
              <w:t>Разом з тим у 201</w:t>
            </w:r>
            <w:r w:rsidR="00A96050" w:rsidRPr="00A96050">
              <w:rPr>
                <w:szCs w:val="28"/>
              </w:rPr>
              <w:t>7</w:t>
            </w:r>
            <w:r w:rsidRPr="00A96050">
              <w:rPr>
                <w:szCs w:val="28"/>
              </w:rPr>
              <w:t xml:space="preserve"> році управлінням та відділеннями  виконавчої дирекції Фонду соціального страхування від нещасних випадків на виробництві та профзахворювань у Житомирській області було проведено </w:t>
            </w:r>
            <w:r w:rsidR="00A96050" w:rsidRPr="00A96050">
              <w:rPr>
                <w:szCs w:val="28"/>
              </w:rPr>
              <w:t>147</w:t>
            </w:r>
            <w:r w:rsidRPr="00A96050">
              <w:rPr>
                <w:szCs w:val="28"/>
              </w:rPr>
              <w:t xml:space="preserve"> семінарів, в тому числі з нагоди Всесвітнього дня охорони праці. Взято участь у нарадах з питань ОП та з питань безпеки життєдіяльності, проведено </w:t>
            </w:r>
            <w:r w:rsidR="00A96050" w:rsidRPr="00A96050">
              <w:rPr>
                <w:szCs w:val="28"/>
              </w:rPr>
              <w:t>157</w:t>
            </w:r>
            <w:r w:rsidRPr="00A96050">
              <w:rPr>
                <w:szCs w:val="28"/>
              </w:rPr>
              <w:t xml:space="preserve"> наради з питань охорони праці для роботодавців і керівників служб охорони праці підприємств, установ і організацій усіх форм власності. Взято участь у проведенні </w:t>
            </w:r>
            <w:r w:rsidR="00A96050" w:rsidRPr="00A96050">
              <w:rPr>
                <w:szCs w:val="28"/>
              </w:rPr>
              <w:t>67</w:t>
            </w:r>
            <w:r w:rsidRPr="00A96050">
              <w:rPr>
                <w:szCs w:val="28"/>
              </w:rPr>
              <w:t xml:space="preserve"> зустріч</w:t>
            </w:r>
            <w:r w:rsidR="00A96050" w:rsidRPr="00A96050">
              <w:rPr>
                <w:szCs w:val="28"/>
              </w:rPr>
              <w:t>ей</w:t>
            </w:r>
            <w:r w:rsidRPr="00A96050">
              <w:rPr>
                <w:szCs w:val="28"/>
              </w:rPr>
              <w:t xml:space="preserve"> за </w:t>
            </w:r>
            <w:r w:rsidRPr="00A96050">
              <w:t>„</w:t>
            </w:r>
            <w:r w:rsidRPr="00A96050">
              <w:rPr>
                <w:szCs w:val="28"/>
              </w:rPr>
              <w:t>круглим столом” з питань профілактики виробничого травматизму.</w:t>
            </w:r>
          </w:p>
          <w:p w:rsidR="00471BBB" w:rsidRPr="00190651" w:rsidRDefault="00EC1425" w:rsidP="00190651">
            <w:pPr>
              <w:ind w:firstLine="709"/>
              <w:jc w:val="both"/>
              <w:rPr>
                <w:szCs w:val="28"/>
              </w:rPr>
            </w:pPr>
            <w:r w:rsidRPr="00A96050">
              <w:rPr>
                <w:szCs w:val="28"/>
              </w:rPr>
              <w:t>Проведення регіональних семінарів, нарад з питань охорони праці сприяє поширенню нових знань та передового досвіду серед роботодавців, керівників і сп</w:t>
            </w:r>
            <w:r w:rsidR="00190651">
              <w:rPr>
                <w:szCs w:val="28"/>
              </w:rPr>
              <w:t>еціалістів служб охорони праці.</w:t>
            </w:r>
          </w:p>
        </w:tc>
      </w:tr>
      <w:tr w:rsidR="00EC1425" w:rsidRPr="0085485C" w:rsidTr="00190651">
        <w:trPr>
          <w:trHeight w:val="564"/>
        </w:trPr>
        <w:tc>
          <w:tcPr>
            <w:tcW w:w="567" w:type="dxa"/>
          </w:tcPr>
          <w:p w:rsidR="00EC1425" w:rsidRPr="0085485C" w:rsidRDefault="00EC1425" w:rsidP="007714B3">
            <w:r w:rsidRPr="0085485C">
              <w:lastRenderedPageBreak/>
              <w:t>5</w:t>
            </w:r>
          </w:p>
        </w:tc>
        <w:tc>
          <w:tcPr>
            <w:tcW w:w="3261" w:type="dxa"/>
          </w:tcPr>
          <w:p w:rsidR="00EC1425" w:rsidRPr="0085485C" w:rsidRDefault="00EC1425" w:rsidP="007714B3">
            <w:r w:rsidRPr="0085485C">
              <w:t>Навчання та перевірка знань з питань охорони праці обласних, міських та районних державних адміністрацій, органів місцевого самоврядування, членів комісії з перевірки знань з охорони праці, представників профспілок з питань охорони праці, керівників та спеціалістів служб охорони праці підприємств, установ, організацій</w:t>
            </w:r>
          </w:p>
          <w:p w:rsidR="00EC1425" w:rsidRPr="0085485C" w:rsidRDefault="00EC1425" w:rsidP="007714B3">
            <w:pPr>
              <w:rPr>
                <w:sz w:val="16"/>
                <w:szCs w:val="16"/>
              </w:rPr>
            </w:pPr>
          </w:p>
        </w:tc>
        <w:tc>
          <w:tcPr>
            <w:tcW w:w="6237" w:type="dxa"/>
          </w:tcPr>
          <w:p w:rsidR="00EC1425" w:rsidRPr="00A96050" w:rsidRDefault="00EC1425" w:rsidP="00017EB5">
            <w:pPr>
              <w:ind w:firstLine="709"/>
              <w:jc w:val="both"/>
              <w:rPr>
                <w:szCs w:val="28"/>
              </w:rPr>
            </w:pPr>
            <w:r w:rsidRPr="00A96050">
              <w:rPr>
                <w:szCs w:val="28"/>
              </w:rPr>
              <w:t>У 201</w:t>
            </w:r>
            <w:r w:rsidR="00A96050" w:rsidRPr="00A96050">
              <w:rPr>
                <w:szCs w:val="28"/>
              </w:rPr>
              <w:t>7</w:t>
            </w:r>
            <w:r w:rsidRPr="00A96050">
              <w:rPr>
                <w:szCs w:val="28"/>
              </w:rPr>
              <w:t xml:space="preserve"> році кошти на фінансування</w:t>
            </w:r>
            <w:r w:rsidR="0085485C" w:rsidRPr="00A96050">
              <w:rPr>
                <w:szCs w:val="28"/>
              </w:rPr>
              <w:t xml:space="preserve"> </w:t>
            </w:r>
            <w:r w:rsidR="0085485C" w:rsidRPr="00A96050">
              <w:t>навчання та перевірк</w:t>
            </w:r>
            <w:r w:rsidR="004175D8" w:rsidRPr="00A96050">
              <w:t>и</w:t>
            </w:r>
            <w:r w:rsidR="0085485C" w:rsidRPr="00A96050">
              <w:t xml:space="preserve"> знань з питань охорони праці обласних, міських та районних державних адміністрацій, органів місцевого самоврядування, членів комісії з перевірки знань з охорони праці, представників профспілок з питань охорони праці, керівників та спеціалістів служб охорони праці підприємств, установ, організацій,</w:t>
            </w:r>
            <w:r w:rsidRPr="00A96050">
              <w:rPr>
                <w:szCs w:val="28"/>
              </w:rPr>
              <w:t xml:space="preserve"> передбачених регіональними програмами поліпшення стану безпеки, умов праці та виробничого середовища </w:t>
            </w:r>
            <w:r w:rsidRPr="00A96050">
              <w:rPr>
                <w:b/>
                <w:szCs w:val="28"/>
              </w:rPr>
              <w:t>не виділялись</w:t>
            </w:r>
            <w:r w:rsidRPr="00A96050">
              <w:rPr>
                <w:szCs w:val="28"/>
              </w:rPr>
              <w:t>.</w:t>
            </w:r>
          </w:p>
          <w:p w:rsidR="00EC1425" w:rsidRPr="00446D6A" w:rsidRDefault="00EC1425" w:rsidP="00017EB5">
            <w:pPr>
              <w:ind w:firstLine="709"/>
              <w:jc w:val="both"/>
              <w:rPr>
                <w:highlight w:val="yellow"/>
              </w:rPr>
            </w:pPr>
          </w:p>
        </w:tc>
      </w:tr>
      <w:tr w:rsidR="00EC1425" w:rsidRPr="0076131A" w:rsidTr="00190651">
        <w:trPr>
          <w:trHeight w:val="2026"/>
        </w:trPr>
        <w:tc>
          <w:tcPr>
            <w:tcW w:w="567" w:type="dxa"/>
            <w:vMerge w:val="restart"/>
          </w:tcPr>
          <w:p w:rsidR="00EC1425" w:rsidRPr="0076131A" w:rsidRDefault="00EC1425" w:rsidP="00056FC4">
            <w:pPr>
              <w:jc w:val="center"/>
            </w:pPr>
            <w:r w:rsidRPr="0076131A">
              <w:t>6</w:t>
            </w:r>
          </w:p>
        </w:tc>
        <w:tc>
          <w:tcPr>
            <w:tcW w:w="3261" w:type="dxa"/>
            <w:vMerge w:val="restart"/>
          </w:tcPr>
          <w:p w:rsidR="00EC1425" w:rsidRPr="0076131A" w:rsidRDefault="00EC1425" w:rsidP="00056FC4">
            <w:r w:rsidRPr="0076131A">
              <w:t>Пропаганда передового вітчизняного та зарубіжного досвіду з питань поліпшення умов безпеки праці</w:t>
            </w:r>
          </w:p>
        </w:tc>
        <w:tc>
          <w:tcPr>
            <w:tcW w:w="6237" w:type="dxa"/>
            <w:vMerge w:val="restart"/>
          </w:tcPr>
          <w:p w:rsidR="00A96050" w:rsidRDefault="00A96050" w:rsidP="0061441C">
            <w:pPr>
              <w:ind w:firstLine="709"/>
              <w:jc w:val="both"/>
              <w:rPr>
                <w:szCs w:val="28"/>
                <w:highlight w:val="yellow"/>
              </w:rPr>
            </w:pPr>
            <w:r w:rsidRPr="00A96050">
              <w:rPr>
                <w:szCs w:val="28"/>
              </w:rPr>
              <w:t xml:space="preserve">У 2017 році кошти на фінансування заходів, передбачених регіональними програмами поліпшення стану безпеки, умов праці та виробничого середовища </w:t>
            </w:r>
            <w:r w:rsidRPr="00A96050">
              <w:rPr>
                <w:b/>
                <w:szCs w:val="28"/>
              </w:rPr>
              <w:t>не виділялись</w:t>
            </w:r>
            <w:r w:rsidRPr="00A96050">
              <w:rPr>
                <w:szCs w:val="28"/>
              </w:rPr>
              <w:t>.</w:t>
            </w:r>
          </w:p>
          <w:p w:rsidR="009F3DFD" w:rsidRPr="009F3DFD" w:rsidRDefault="00EC1425" w:rsidP="0061441C">
            <w:pPr>
              <w:ind w:firstLine="709"/>
              <w:jc w:val="both"/>
              <w:rPr>
                <w:szCs w:val="28"/>
              </w:rPr>
            </w:pPr>
            <w:r w:rsidRPr="009F3DFD">
              <w:rPr>
                <w:szCs w:val="28"/>
              </w:rPr>
              <w:t xml:space="preserve">У звітному періоді управлінням та відділеннями виконавчої дирекції Фонду соціального страхування від нещасних випадків на виробництві та профзахворювань у Житомирській області </w:t>
            </w:r>
            <w:r w:rsidR="009F3DFD" w:rsidRPr="009F3DFD">
              <w:rPr>
                <w:szCs w:val="28"/>
              </w:rPr>
              <w:t>вивчено та поширено позитивний досвід профілактичної роботи на 87 підприємствах регіону</w:t>
            </w:r>
            <w:r w:rsidRPr="009F3DFD">
              <w:rPr>
                <w:szCs w:val="28"/>
              </w:rPr>
              <w:t>.</w:t>
            </w:r>
            <w:r w:rsidR="009F3DFD">
              <w:rPr>
                <w:szCs w:val="28"/>
              </w:rPr>
              <w:t xml:space="preserve"> Зокрема на таких підприємствах ДП „РИТМ”, ТОВ „Коростеський щебзавод”, ДП „Лісомисливське господарство”, ПАТ „ТЗ „Трубосталь”, КУ „Коростеньсе МБТІ”, коростенський міський ліцей, ПАТ „Укрзалізниця” та інші.</w:t>
            </w:r>
          </w:p>
          <w:p w:rsidR="00471BBB" w:rsidRDefault="00EC1425" w:rsidP="00190651">
            <w:pPr>
              <w:ind w:firstLine="709"/>
              <w:jc w:val="both"/>
              <w:rPr>
                <w:szCs w:val="28"/>
              </w:rPr>
            </w:pPr>
            <w:r w:rsidRPr="009F3DFD">
              <w:rPr>
                <w:szCs w:val="28"/>
              </w:rPr>
              <w:t>При проведенні семінарів учасники безкоштовно забезпечувались пакетами норматив</w:t>
            </w:r>
            <w:r w:rsidR="00190651">
              <w:rPr>
                <w:szCs w:val="28"/>
              </w:rPr>
              <w:t>них документів з охорони праці.</w:t>
            </w:r>
          </w:p>
          <w:p w:rsidR="00190651" w:rsidRPr="00190651" w:rsidRDefault="00190651" w:rsidP="00190651">
            <w:pPr>
              <w:ind w:firstLine="709"/>
              <w:jc w:val="both"/>
              <w:rPr>
                <w:sz w:val="16"/>
                <w:szCs w:val="16"/>
              </w:rPr>
            </w:pPr>
          </w:p>
        </w:tc>
      </w:tr>
      <w:tr w:rsidR="00EC1425" w:rsidRPr="00216B55" w:rsidTr="00190651">
        <w:trPr>
          <w:trHeight w:val="535"/>
        </w:trPr>
        <w:tc>
          <w:tcPr>
            <w:tcW w:w="567" w:type="dxa"/>
            <w:vMerge/>
          </w:tcPr>
          <w:p w:rsidR="00EC1425" w:rsidRPr="00216B55" w:rsidRDefault="00EC1425" w:rsidP="00056FC4">
            <w:pPr>
              <w:jc w:val="center"/>
              <w:rPr>
                <w:highlight w:val="yellow"/>
              </w:rPr>
            </w:pPr>
          </w:p>
        </w:tc>
        <w:tc>
          <w:tcPr>
            <w:tcW w:w="3261" w:type="dxa"/>
            <w:vMerge/>
          </w:tcPr>
          <w:p w:rsidR="00EC1425" w:rsidRPr="00216B55" w:rsidRDefault="00EC1425" w:rsidP="00056FC4">
            <w:pPr>
              <w:rPr>
                <w:highlight w:val="yellow"/>
              </w:rPr>
            </w:pPr>
          </w:p>
        </w:tc>
        <w:tc>
          <w:tcPr>
            <w:tcW w:w="6237" w:type="dxa"/>
            <w:vMerge/>
          </w:tcPr>
          <w:p w:rsidR="00EC1425" w:rsidRPr="00446D6A" w:rsidRDefault="00EC1425" w:rsidP="00056FC4">
            <w:pPr>
              <w:rPr>
                <w:highlight w:val="yellow"/>
              </w:rPr>
            </w:pPr>
          </w:p>
        </w:tc>
      </w:tr>
      <w:tr w:rsidR="00EC1425" w:rsidRPr="00F156FE" w:rsidTr="00190651">
        <w:trPr>
          <w:trHeight w:val="338"/>
        </w:trPr>
        <w:tc>
          <w:tcPr>
            <w:tcW w:w="567" w:type="dxa"/>
          </w:tcPr>
          <w:p w:rsidR="00EC1425" w:rsidRPr="00F156FE" w:rsidRDefault="00EC1425" w:rsidP="00056FC4">
            <w:pPr>
              <w:jc w:val="center"/>
            </w:pPr>
            <w:r w:rsidRPr="00F156FE">
              <w:t>7</w:t>
            </w:r>
          </w:p>
        </w:tc>
        <w:tc>
          <w:tcPr>
            <w:tcW w:w="3261" w:type="dxa"/>
          </w:tcPr>
          <w:p w:rsidR="00EC1425" w:rsidRPr="00F156FE" w:rsidRDefault="00EC1425" w:rsidP="002E7636">
            <w:r w:rsidRPr="00F156FE">
              <w:t xml:space="preserve">Створення та забезпечення </w:t>
            </w:r>
            <w:r w:rsidR="006419D2" w:rsidRPr="00F156FE">
              <w:t>функціонування постійно діючих атестаційних комісій з перевірки знань з питань охорони праці посадових осіб підприємств, установ і організацій при райдержадміністраціях та міськвиконкомах</w:t>
            </w:r>
          </w:p>
        </w:tc>
        <w:tc>
          <w:tcPr>
            <w:tcW w:w="6237" w:type="dxa"/>
          </w:tcPr>
          <w:p w:rsidR="00132357" w:rsidRPr="00190651" w:rsidRDefault="00F156FE" w:rsidP="00F156FE">
            <w:pPr>
              <w:ind w:firstLine="709"/>
              <w:jc w:val="both"/>
              <w:rPr>
                <w:szCs w:val="28"/>
              </w:rPr>
            </w:pPr>
            <w:r w:rsidRPr="00190651">
              <w:rPr>
                <w:szCs w:val="28"/>
              </w:rPr>
              <w:t xml:space="preserve">Відповідно до Типового положення про порядок проведення навчання і перевірки знань з питань охорони праці, затвердженого наказом Держнаглядохоронпраці від 26.01.2005 №15 та зареєстрованого в Міністерстві юстиції України 15 лютого 2005 р. за N 231/10511, створено постійно-діючі комісії щодо перевірки знань посадових осіб, відповідальних за стан охорони праці та безпечне ведення робіт, працівників, які проходять навчання і перевірку знань в спеціалізованих закладах - ОКП «Обласний учбово-курсовий комбінат житлово-комунального господарства» Житомирської обласної ради, ДП «Житомирський експертно-технічний центр Держпраці», ТОВ «Житомирський обласний навчально-курсовий комбінат»,. </w:t>
            </w:r>
          </w:p>
          <w:p w:rsidR="00F156FE" w:rsidRPr="00190651" w:rsidRDefault="00132357" w:rsidP="00F156FE">
            <w:pPr>
              <w:ind w:firstLine="709"/>
              <w:jc w:val="both"/>
              <w:rPr>
                <w:szCs w:val="28"/>
              </w:rPr>
            </w:pPr>
            <w:r w:rsidRPr="00190651">
              <w:rPr>
                <w:szCs w:val="28"/>
              </w:rPr>
              <w:t xml:space="preserve">У 2017 році 7135 посадових осіб пройшли навчання та перевірку знань з питань охорони праці та  12148 осіб пройшли спеціальне навчання та перевірку знань з питань охорони праці у комісії, створеною </w:t>
            </w:r>
            <w:r w:rsidRPr="00190651">
              <w:rPr>
                <w:szCs w:val="28"/>
              </w:rPr>
              <w:lastRenderedPageBreak/>
              <w:t>Управлінням Держпраці у Житомирській області. у комісії, створеною Управлінням Держпраці у Житомирській області.</w:t>
            </w:r>
          </w:p>
          <w:p w:rsidR="00471BBB" w:rsidRDefault="00F156FE" w:rsidP="00190651">
            <w:pPr>
              <w:ind w:firstLine="709"/>
              <w:jc w:val="both"/>
              <w:rPr>
                <w:szCs w:val="28"/>
              </w:rPr>
            </w:pPr>
            <w:r w:rsidRPr="00190651">
              <w:rPr>
                <w:szCs w:val="28"/>
              </w:rPr>
              <w:t xml:space="preserve">Додатково наказом затверджена постійно діюча комісія по перевірці знань посадових осіб малих підприємств, де немає можливості створити безпосередньо на підприємстві комісію з перевірки знань з питань охорони праці, засідання якої проводиться безпосередньо в Управлінні. </w:t>
            </w:r>
          </w:p>
          <w:p w:rsidR="00190651" w:rsidRPr="00190651" w:rsidRDefault="00190651" w:rsidP="00190651">
            <w:pPr>
              <w:ind w:firstLine="709"/>
              <w:jc w:val="both"/>
              <w:rPr>
                <w:sz w:val="16"/>
                <w:szCs w:val="16"/>
              </w:rPr>
            </w:pPr>
          </w:p>
        </w:tc>
      </w:tr>
      <w:tr w:rsidR="00EC1425" w:rsidRPr="00B315A2" w:rsidTr="00190651">
        <w:trPr>
          <w:trHeight w:val="338"/>
        </w:trPr>
        <w:tc>
          <w:tcPr>
            <w:tcW w:w="567" w:type="dxa"/>
          </w:tcPr>
          <w:p w:rsidR="00EC1425" w:rsidRPr="00B315A2" w:rsidRDefault="00EC1425" w:rsidP="00056FC4">
            <w:pPr>
              <w:jc w:val="center"/>
            </w:pPr>
            <w:r w:rsidRPr="00B315A2">
              <w:lastRenderedPageBreak/>
              <w:t>8</w:t>
            </w:r>
          </w:p>
        </w:tc>
        <w:tc>
          <w:tcPr>
            <w:tcW w:w="3261" w:type="dxa"/>
          </w:tcPr>
          <w:p w:rsidR="00EC1425" w:rsidRPr="00B315A2" w:rsidRDefault="00EC1425" w:rsidP="00017EB5">
            <w:r w:rsidRPr="00B315A2">
              <w:t>Організація роботи зі створення (відновлення) кабінетів, куточків, стендів з охорони праці та укомплектування їх необхідною нормативно-правовою документацією з питань охорони праці та відповідними технічними засобами</w:t>
            </w:r>
          </w:p>
        </w:tc>
        <w:tc>
          <w:tcPr>
            <w:tcW w:w="6237" w:type="dxa"/>
          </w:tcPr>
          <w:p w:rsidR="0051185A" w:rsidRPr="0051185A" w:rsidRDefault="00EC1425" w:rsidP="00C02B31">
            <w:pPr>
              <w:ind w:firstLine="601"/>
              <w:jc w:val="both"/>
            </w:pPr>
            <w:r w:rsidRPr="0051185A">
              <w:t>При проведенні семінарів у містах та районах області, за ініціативи виконавчої дирекції Фонду соціального страхування від нещасних випадків на виробництві та профзахворювань у Житомирській області, представникам підприємств, установ та організацій безкоштовно  надаються нормативно-правові документи з питань охорони праці. Протягом 201</w:t>
            </w:r>
            <w:r w:rsidR="0051185A" w:rsidRPr="0051185A">
              <w:t>7</w:t>
            </w:r>
            <w:r w:rsidRPr="0051185A">
              <w:t xml:space="preserve"> року управлінням та відділеннями ВД Фонду було розповсюджено </w:t>
            </w:r>
            <w:r w:rsidR="0051185A" w:rsidRPr="0051185A">
              <w:t>3371</w:t>
            </w:r>
            <w:r w:rsidRPr="0051185A">
              <w:t xml:space="preserve"> нормативних акти з охорони праці: зразки заповнення актів Н-5 та Н-1, бланки повідомлень про нещасний випадок, виписки з порядку розслідування нещасних випадків тощо. </w:t>
            </w:r>
            <w:r w:rsidR="0051185A">
              <w:t>Розповсюджено на підприємствах, організаціях та установах 775 примірників методичних рекомендацій по організації роботи з охорони праці, розповсюджено пам'ятки, нормативні акти з ОП, положення, інструкції з охорони праці, розповсюджено застережні знаки та знаки безпеки.</w:t>
            </w:r>
          </w:p>
          <w:p w:rsidR="002E7636" w:rsidRDefault="00EC1425" w:rsidP="00190651">
            <w:pPr>
              <w:ind w:firstLine="601"/>
              <w:jc w:val="both"/>
            </w:pPr>
            <w:r w:rsidRPr="0051185A">
              <w:t>Це сприяє створенню нових куточків, стендів з охорони праці або доукомплектування діючих нормативно-правовою докуме</w:t>
            </w:r>
            <w:r w:rsidR="00190651">
              <w:t>нтацією з питань охорони праці.</w:t>
            </w:r>
          </w:p>
          <w:p w:rsidR="00190651" w:rsidRPr="00190651" w:rsidRDefault="00190651" w:rsidP="00190651">
            <w:pPr>
              <w:ind w:firstLine="601"/>
              <w:jc w:val="both"/>
              <w:rPr>
                <w:sz w:val="16"/>
                <w:szCs w:val="16"/>
              </w:rPr>
            </w:pPr>
          </w:p>
        </w:tc>
      </w:tr>
      <w:tr w:rsidR="00EC1425" w:rsidRPr="001B440A" w:rsidTr="00190651">
        <w:trPr>
          <w:trHeight w:val="338"/>
        </w:trPr>
        <w:tc>
          <w:tcPr>
            <w:tcW w:w="567" w:type="dxa"/>
          </w:tcPr>
          <w:p w:rsidR="00EC1425" w:rsidRPr="001B440A" w:rsidRDefault="00EC1425" w:rsidP="00056FC4">
            <w:pPr>
              <w:jc w:val="center"/>
            </w:pPr>
            <w:r w:rsidRPr="001B440A">
              <w:t>9</w:t>
            </w:r>
          </w:p>
        </w:tc>
        <w:tc>
          <w:tcPr>
            <w:tcW w:w="3261" w:type="dxa"/>
          </w:tcPr>
          <w:p w:rsidR="00EC1425" w:rsidRPr="001B440A" w:rsidRDefault="00EC1425" w:rsidP="00056FC4">
            <w:r w:rsidRPr="001B440A">
              <w:t>Організація та проведення в області загальнодержавних акцій з питань охорони праці, в тому числі Всесвітнього Дня охорони праці</w:t>
            </w:r>
          </w:p>
        </w:tc>
        <w:tc>
          <w:tcPr>
            <w:tcW w:w="6237" w:type="dxa"/>
          </w:tcPr>
          <w:p w:rsidR="0051185A" w:rsidRPr="0051185A" w:rsidRDefault="0051185A" w:rsidP="0051185A">
            <w:pPr>
              <w:ind w:firstLine="601"/>
              <w:jc w:val="both"/>
            </w:pPr>
            <w:r w:rsidRPr="0051185A">
              <w:t>З нагоди офіційного відзначення в Україні 28 квітня Дня охорони праці за участю представників управління Держпраці в області, Федерації профспілок області, управління виконавчої дирекції Фонду соціального страхування від нещасних випадків на виробництві та професійних захворювань в області, облдержадміністрації та обласних організацій створений регіональний організаційний комітет з підготовки та проведення відповідних заходів.</w:t>
            </w:r>
          </w:p>
          <w:p w:rsidR="0051185A" w:rsidRDefault="0051185A" w:rsidP="0051185A">
            <w:pPr>
              <w:ind w:firstLine="601"/>
              <w:jc w:val="both"/>
            </w:pPr>
            <w:r>
              <w:t>У</w:t>
            </w:r>
            <w:r w:rsidRPr="0051185A">
              <w:t xml:space="preserve"> 2017 році Дня охорони праці</w:t>
            </w:r>
            <w:r>
              <w:t xml:space="preserve"> проходив </w:t>
            </w:r>
            <w:r w:rsidRPr="0051185A">
              <w:t>під девізом: «Удосконалення збору та використання даних про безпеку та гігієну праці»</w:t>
            </w:r>
            <w:r>
              <w:t>.</w:t>
            </w:r>
          </w:p>
          <w:p w:rsidR="0051185A" w:rsidRPr="0051185A" w:rsidRDefault="0051185A" w:rsidP="0051185A">
            <w:pPr>
              <w:pStyle w:val="a3"/>
              <w:tabs>
                <w:tab w:val="left" w:pos="567"/>
                <w:tab w:val="left" w:pos="709"/>
                <w:tab w:val="left" w:pos="851"/>
              </w:tabs>
              <w:ind w:firstLine="601"/>
              <w:rPr>
                <w:sz w:val="24"/>
              </w:rPr>
            </w:pPr>
            <w:r w:rsidRPr="0051185A">
              <w:rPr>
                <w:sz w:val="24"/>
              </w:rPr>
              <w:t>Під час реалізації заходів значну увагу приділялось пропаганді та навчанню з питань охорони праці представників профспілок, керівників і відповідальних осіб з охорони праці суб’єктів господарювання області.</w:t>
            </w:r>
          </w:p>
          <w:p w:rsidR="0051185A" w:rsidRPr="0051185A" w:rsidRDefault="0051185A" w:rsidP="0051185A">
            <w:pPr>
              <w:pStyle w:val="a3"/>
              <w:tabs>
                <w:tab w:val="left" w:pos="567"/>
                <w:tab w:val="left" w:pos="709"/>
                <w:tab w:val="left" w:pos="851"/>
              </w:tabs>
              <w:ind w:firstLine="601"/>
              <w:rPr>
                <w:sz w:val="24"/>
              </w:rPr>
            </w:pPr>
            <w:r w:rsidRPr="0051185A">
              <w:rPr>
                <w:sz w:val="24"/>
              </w:rPr>
              <w:t xml:space="preserve">Так, обласною організацією працівників лісового господарства України, Федерацією профспілок області разом із соціальними партнерами на базі Малинського </w:t>
            </w:r>
            <w:r w:rsidRPr="0051185A">
              <w:rPr>
                <w:sz w:val="24"/>
              </w:rPr>
              <w:lastRenderedPageBreak/>
              <w:t xml:space="preserve">лісотехнічного коледжу для представників профспілок з охорони праці лісових господарств області організовано та проведено чергове навчання і перевірка знань з питань охорони праці, в якому взяло участь 30 осіб. Під час цього навчання відбулось засіданні президії вищезазначеної профспілкової організації, на якому розглядалось питання стану охорони праці на підвідомчих підприємствах. </w:t>
            </w:r>
          </w:p>
          <w:p w:rsidR="0051185A" w:rsidRPr="0051185A" w:rsidRDefault="0051185A" w:rsidP="0051185A">
            <w:pPr>
              <w:ind w:firstLine="601"/>
              <w:jc w:val="both"/>
            </w:pPr>
            <w:r w:rsidRPr="0051185A">
              <w:t>На базі інституту післядипломної освіти та дорадництва ЖНАУ проведено аналогічне чергове навчання для інженерів з охорони праці сільськогосподарських підприємств області, керівників і спеціалістів управлінь агропромислового розвитку. В заході взяло участь 30 осіб.</w:t>
            </w:r>
          </w:p>
          <w:p w:rsidR="0051185A" w:rsidRPr="0051185A" w:rsidRDefault="0051185A" w:rsidP="0051185A">
            <w:pPr>
              <w:pStyle w:val="a3"/>
              <w:tabs>
                <w:tab w:val="left" w:pos="567"/>
                <w:tab w:val="left" w:pos="709"/>
                <w:tab w:val="left" w:pos="851"/>
              </w:tabs>
              <w:ind w:firstLine="601"/>
              <w:rPr>
                <w:sz w:val="24"/>
              </w:rPr>
            </w:pPr>
            <w:r w:rsidRPr="0051185A">
              <w:rPr>
                <w:sz w:val="24"/>
              </w:rPr>
              <w:t xml:space="preserve">Також, за участю представників управління освіти і науки ОДА, управління Держпраці в області та Федерації профспілок області проведено чергове навчання з питань охорони праці керівників, інженерів з охорони праці та викладачів предмету «Охорона праці» професійно-технічних закладів освіти області. Взагалі було навчено 60 осіб. </w:t>
            </w:r>
          </w:p>
          <w:p w:rsidR="0051185A" w:rsidRPr="0051185A" w:rsidRDefault="0051185A" w:rsidP="0051185A">
            <w:pPr>
              <w:ind w:firstLine="601"/>
              <w:jc w:val="both"/>
            </w:pPr>
            <w:r w:rsidRPr="0051185A">
              <w:t>Проведена тематична зустріч представників обласної профспілкової організації працівників державних установ України та Федерації профспілок області з профспілковим активом Державного архіву області, під час якої висвітлювались питання сучасного стану охорони праці в державі та надана практична і правова допомога учасникам заходу.</w:t>
            </w:r>
          </w:p>
          <w:p w:rsidR="0051185A" w:rsidRPr="0051185A" w:rsidRDefault="0051185A" w:rsidP="0051185A">
            <w:pPr>
              <w:ind w:firstLine="601"/>
              <w:jc w:val="both"/>
            </w:pPr>
            <w:r w:rsidRPr="0051185A">
              <w:t>На базі Житомирського державного експериментального протезно-ортопедичного підприємства за участю соціальних партнерів відбулось виїзне засідання Президії Федерації профспілок Житомирської області, на якому заслуховувалось питання: «Про стан охорони праці в області та перспективні напрями діяльності профспілок в цій сфері».</w:t>
            </w:r>
          </w:p>
          <w:p w:rsidR="0051185A" w:rsidRPr="0051185A" w:rsidRDefault="0051185A" w:rsidP="0051185A">
            <w:pPr>
              <w:ind w:firstLine="601"/>
              <w:jc w:val="both"/>
            </w:pPr>
            <w:r w:rsidRPr="0051185A">
              <w:t>Під час заходу обговорювалися стратегічні напрями діяльності профспілок в сфері охорони праці, стан охорони праці в регіоні та наглядової діяльності відповідних державних органів, профілактична робота щодо запобігання нещасним випадкам на виробництві, обмін досвідом в організації роботи з охорони праці тощо.</w:t>
            </w:r>
          </w:p>
          <w:p w:rsidR="0051185A" w:rsidRPr="0051185A" w:rsidRDefault="0051185A" w:rsidP="0051185A">
            <w:pPr>
              <w:ind w:firstLine="601"/>
              <w:jc w:val="both"/>
            </w:pPr>
            <w:r w:rsidRPr="0051185A">
              <w:t>Наприкінці засідання урочисто нагороджено голову профкому підприємства почесною грамотою та грошовою винагородою за ІІ місце у Всеукраїнському галузевому конкурсі на кращу первинну профспілкову організацію в здійсненні громадського контролю за дотриманням законодавства про охорону праці.</w:t>
            </w:r>
          </w:p>
          <w:p w:rsidR="0051185A" w:rsidRPr="0051185A" w:rsidRDefault="0051185A" w:rsidP="0051185A">
            <w:pPr>
              <w:ind w:firstLine="601"/>
              <w:jc w:val="both"/>
            </w:pPr>
            <w:r w:rsidRPr="0051185A">
              <w:t>Разом з тим, підготовлена і висвітлена в газеті «Житомирщина» позиція профспілок щодо сучасного стану охорони праці в регіоні та державі в цілому.</w:t>
            </w:r>
          </w:p>
          <w:p w:rsidR="0051185A" w:rsidRPr="0051185A" w:rsidRDefault="0051185A" w:rsidP="0051185A">
            <w:pPr>
              <w:pStyle w:val="a3"/>
              <w:tabs>
                <w:tab w:val="left" w:pos="567"/>
                <w:tab w:val="left" w:pos="709"/>
                <w:tab w:val="left" w:pos="851"/>
              </w:tabs>
              <w:ind w:firstLine="601"/>
              <w:rPr>
                <w:sz w:val="24"/>
              </w:rPr>
            </w:pPr>
            <w:r w:rsidRPr="0051185A">
              <w:rPr>
                <w:sz w:val="24"/>
              </w:rPr>
              <w:t xml:space="preserve">За участю представників сторін соціального діалогу для студентів будівельного коледжу Житомирського </w:t>
            </w:r>
            <w:r w:rsidRPr="0051185A">
              <w:rPr>
                <w:sz w:val="24"/>
              </w:rPr>
              <w:lastRenderedPageBreak/>
              <w:t>національного агроекологічного університету проведений відкритий урок на тему: «28 квітня – Всесвітній день охорони праці», який спрямований на привернення уваги молоді до профілактичної роботи в сфері охорони праці.</w:t>
            </w:r>
          </w:p>
          <w:p w:rsidR="0051185A" w:rsidRPr="0051185A" w:rsidRDefault="0051185A" w:rsidP="0051185A">
            <w:pPr>
              <w:pStyle w:val="a3"/>
              <w:tabs>
                <w:tab w:val="left" w:pos="567"/>
                <w:tab w:val="left" w:pos="709"/>
                <w:tab w:val="left" w:pos="851"/>
              </w:tabs>
              <w:ind w:firstLine="601"/>
              <w:rPr>
                <w:sz w:val="24"/>
              </w:rPr>
            </w:pPr>
            <w:r w:rsidRPr="0051185A">
              <w:rPr>
                <w:sz w:val="24"/>
              </w:rPr>
              <w:t>Центром правової допомоги ФПО на протязі квітня місяця організовано постійне надання консультацій з питань охорони праці у форматі «гарячої» телефонної лінії.</w:t>
            </w:r>
          </w:p>
          <w:p w:rsidR="0051185A" w:rsidRPr="0051185A" w:rsidRDefault="0051185A" w:rsidP="0051185A">
            <w:pPr>
              <w:tabs>
                <w:tab w:val="left" w:pos="0"/>
              </w:tabs>
              <w:ind w:firstLine="601"/>
              <w:jc w:val="both"/>
            </w:pPr>
            <w:r w:rsidRPr="0051185A">
              <w:t>На суб’єктах господарювання області проводились комплексні обстеження, цільові перевірки, огляди-конкурси стану охорони праці та промислової безпеки, конкурси на краще робоче місце, виробничу дільницю (структурний підрозділ), кращого працівника, переможці яких були матеріально та морально заохочені. Оформлені куточки, стенди та кабінети охорони праці.</w:t>
            </w:r>
          </w:p>
          <w:p w:rsidR="0051185A" w:rsidRPr="0051185A" w:rsidRDefault="0051185A" w:rsidP="0051185A">
            <w:pPr>
              <w:pStyle w:val="3"/>
              <w:spacing w:before="0" w:after="0"/>
              <w:ind w:firstLine="601"/>
              <w:jc w:val="both"/>
              <w:rPr>
                <w:rFonts w:ascii="Times New Roman" w:hAnsi="Times New Roman"/>
                <w:b w:val="0"/>
                <w:bCs w:val="0"/>
                <w:sz w:val="24"/>
                <w:szCs w:val="24"/>
              </w:rPr>
            </w:pPr>
            <w:r w:rsidRPr="0051185A">
              <w:rPr>
                <w:rFonts w:ascii="Times New Roman" w:hAnsi="Times New Roman"/>
                <w:b w:val="0"/>
                <w:bCs w:val="0"/>
                <w:sz w:val="24"/>
                <w:szCs w:val="24"/>
              </w:rPr>
              <w:t xml:space="preserve">Наприклад, управлінням освіти і науки ОДА за участю управління Держпраці в області, Федерації профспілок області та управління ДСНС України в області організовано проведення ІІ етапу Всеукраїнського огляду-конкурсу серед професійно-технічних навчальних закладів області на кращу організацію роботи з охорони праці, в якому перемогло Головинське вище професійне училище нерудних технологій. В кінцевому результаті цей заклад зайняв ІІ місце в ІІІ етапі відповідного огляду-конкурсу.    </w:t>
            </w:r>
          </w:p>
          <w:p w:rsidR="0051185A" w:rsidRPr="0051185A" w:rsidRDefault="0051185A" w:rsidP="0051185A">
            <w:pPr>
              <w:tabs>
                <w:tab w:val="left" w:pos="0"/>
              </w:tabs>
              <w:ind w:firstLine="601"/>
              <w:jc w:val="both"/>
            </w:pPr>
            <w:r w:rsidRPr="0051185A">
              <w:t>Проведені заходи щодо вшанування пам’яті загиблих на виробництві, надано допомогу в облаштуванні могил, відвідані родини загиблих, інваліди праці і потерпілі від нещасних випадків на виробництві та надано їм матеріальну допомогу.</w:t>
            </w:r>
          </w:p>
          <w:p w:rsidR="00EC1425" w:rsidRDefault="002368E7" w:rsidP="002368E7">
            <w:pPr>
              <w:tabs>
                <w:tab w:val="left" w:pos="0"/>
              </w:tabs>
              <w:ind w:firstLine="601"/>
              <w:jc w:val="both"/>
            </w:pPr>
            <w:r>
              <w:t>П</w:t>
            </w:r>
            <w:r w:rsidR="001B440A" w:rsidRPr="0051185A">
              <w:t>роведен</w:t>
            </w:r>
            <w:r>
              <w:t>о</w:t>
            </w:r>
            <w:r w:rsidR="001B440A" w:rsidRPr="0051185A">
              <w:t xml:space="preserve"> заходи щодо вшанування пам’яті загиблих на виробництві, надано допомогу в облаштуванні могил, відвідані родини загиблих, інваліди праці і потерпілі від нещасних випадків на виробництві та надано їм матеріальну допомогу.</w:t>
            </w:r>
          </w:p>
          <w:p w:rsidR="00190651" w:rsidRPr="00190651" w:rsidRDefault="00190651" w:rsidP="002368E7">
            <w:pPr>
              <w:tabs>
                <w:tab w:val="left" w:pos="0"/>
              </w:tabs>
              <w:ind w:firstLine="601"/>
              <w:jc w:val="both"/>
              <w:rPr>
                <w:sz w:val="16"/>
                <w:szCs w:val="16"/>
              </w:rPr>
            </w:pPr>
          </w:p>
        </w:tc>
      </w:tr>
      <w:tr w:rsidR="00EC1425" w:rsidRPr="001B440A" w:rsidTr="00190651">
        <w:trPr>
          <w:trHeight w:val="338"/>
        </w:trPr>
        <w:tc>
          <w:tcPr>
            <w:tcW w:w="567" w:type="dxa"/>
          </w:tcPr>
          <w:p w:rsidR="00EC1425" w:rsidRPr="001B440A" w:rsidRDefault="00EC1425" w:rsidP="00056FC4">
            <w:pPr>
              <w:jc w:val="center"/>
            </w:pPr>
            <w:r w:rsidRPr="001B440A">
              <w:lastRenderedPageBreak/>
              <w:t>10</w:t>
            </w:r>
          </w:p>
        </w:tc>
        <w:tc>
          <w:tcPr>
            <w:tcW w:w="3261" w:type="dxa"/>
          </w:tcPr>
          <w:p w:rsidR="00EC1425" w:rsidRDefault="00EC1425" w:rsidP="001B440A">
            <w:pPr>
              <w:tabs>
                <w:tab w:val="left" w:pos="0"/>
              </w:tabs>
              <w:jc w:val="both"/>
            </w:pPr>
            <w:r w:rsidRPr="001B440A">
              <w:t>Забезпечення координації діяльності щодо вирішення головних завдань у сфері охорони праці</w:t>
            </w:r>
          </w:p>
          <w:p w:rsidR="00471BBB" w:rsidRPr="00190651" w:rsidRDefault="00471BBB" w:rsidP="001B440A">
            <w:pPr>
              <w:tabs>
                <w:tab w:val="left" w:pos="0"/>
              </w:tabs>
              <w:jc w:val="both"/>
              <w:rPr>
                <w:sz w:val="16"/>
                <w:szCs w:val="16"/>
              </w:rPr>
            </w:pPr>
          </w:p>
        </w:tc>
        <w:tc>
          <w:tcPr>
            <w:tcW w:w="6237" w:type="dxa"/>
          </w:tcPr>
          <w:p w:rsidR="00EC1425" w:rsidRPr="002368E7" w:rsidRDefault="00EC1425" w:rsidP="001B440A">
            <w:pPr>
              <w:tabs>
                <w:tab w:val="left" w:pos="0"/>
              </w:tabs>
              <w:ind w:firstLine="655"/>
              <w:jc w:val="both"/>
            </w:pPr>
            <w:r w:rsidRPr="002368E7">
              <w:t>Координацію діяльності щодо вирішення головних завдань у сфері охорони праці на території регіону забезпечує територіальне управління Держ</w:t>
            </w:r>
            <w:r w:rsidR="001B440A" w:rsidRPr="002368E7">
              <w:t>праці</w:t>
            </w:r>
            <w:r w:rsidRPr="002368E7">
              <w:t xml:space="preserve"> у Жит</w:t>
            </w:r>
            <w:r w:rsidR="001B440A" w:rsidRPr="002368E7">
              <w:t>омирській області</w:t>
            </w:r>
            <w:r w:rsidRPr="002368E7">
              <w:t>.</w:t>
            </w:r>
          </w:p>
          <w:p w:rsidR="002E7636" w:rsidRPr="00190651" w:rsidRDefault="002E7636" w:rsidP="001B440A">
            <w:pPr>
              <w:tabs>
                <w:tab w:val="left" w:pos="0"/>
              </w:tabs>
              <w:ind w:firstLine="655"/>
              <w:jc w:val="both"/>
              <w:rPr>
                <w:sz w:val="16"/>
                <w:szCs w:val="16"/>
                <w:highlight w:val="yellow"/>
              </w:rPr>
            </w:pPr>
          </w:p>
        </w:tc>
      </w:tr>
      <w:tr w:rsidR="00EC1425" w:rsidRPr="001B440A" w:rsidTr="00190651">
        <w:trPr>
          <w:trHeight w:val="338"/>
        </w:trPr>
        <w:tc>
          <w:tcPr>
            <w:tcW w:w="567" w:type="dxa"/>
          </w:tcPr>
          <w:p w:rsidR="00EC1425" w:rsidRPr="001B440A" w:rsidRDefault="00EC1425" w:rsidP="001B440A">
            <w:pPr>
              <w:tabs>
                <w:tab w:val="left" w:pos="0"/>
              </w:tabs>
              <w:ind w:firstLine="655"/>
              <w:jc w:val="both"/>
            </w:pPr>
            <w:r w:rsidRPr="001B440A">
              <w:t>11</w:t>
            </w:r>
            <w:r w:rsidR="0076131A">
              <w:t>1</w:t>
            </w:r>
          </w:p>
        </w:tc>
        <w:tc>
          <w:tcPr>
            <w:tcW w:w="3261" w:type="dxa"/>
          </w:tcPr>
          <w:p w:rsidR="00EC1425" w:rsidRPr="001B440A" w:rsidRDefault="00EC1425" w:rsidP="001B440A">
            <w:pPr>
              <w:tabs>
                <w:tab w:val="left" w:pos="0"/>
              </w:tabs>
              <w:jc w:val="both"/>
            </w:pPr>
            <w:r w:rsidRPr="001B440A">
              <w:t>Розробка механізму удосконалення методів і форм співробітництва між соціальними партнерами з метою виконання основних завдань з питань охорони праці</w:t>
            </w:r>
          </w:p>
        </w:tc>
        <w:tc>
          <w:tcPr>
            <w:tcW w:w="6237" w:type="dxa"/>
          </w:tcPr>
          <w:p w:rsidR="002368E7" w:rsidRPr="002368E7" w:rsidRDefault="002368E7" w:rsidP="001B440A">
            <w:pPr>
              <w:tabs>
                <w:tab w:val="left" w:pos="0"/>
              </w:tabs>
              <w:ind w:firstLine="655"/>
              <w:jc w:val="both"/>
            </w:pPr>
            <w:r w:rsidRPr="002368E7">
              <w:t xml:space="preserve">Співпраця </w:t>
            </w:r>
            <w:r>
              <w:t>між</w:t>
            </w:r>
            <w:r w:rsidRPr="002368E7">
              <w:t xml:space="preserve"> соціальними партнерами в сфері охорони праці регламентується наступними документами: Територіальна угода про регулювання основних принципів і норм реалізації соціально-економічної політики і трудових відносин в області на 2016-2017 роки і відповідні галузеві угоди, обласна програма поліпшення стану безпеки, гігієни праці та виробничого середовища на 2014-2018 роки, Угода про співпрацю між управлінням Держпраці у Житомирській області та Федерацією профспілок Житомирської області, відповідно до яких </w:t>
            </w:r>
            <w:r w:rsidRPr="002368E7">
              <w:lastRenderedPageBreak/>
              <w:t>сьогодні вона набуває нових та продуктивних форм, що направлені на популяризацію цінностей щодо права кожної людини на належні, безпечні і здорові умови праці.</w:t>
            </w:r>
          </w:p>
          <w:p w:rsidR="00EC1425" w:rsidRPr="00190651" w:rsidRDefault="00EC1425" w:rsidP="002368E7">
            <w:pPr>
              <w:tabs>
                <w:tab w:val="left" w:pos="0"/>
              </w:tabs>
              <w:ind w:firstLine="655"/>
              <w:jc w:val="both"/>
              <w:rPr>
                <w:sz w:val="16"/>
                <w:szCs w:val="16"/>
              </w:rPr>
            </w:pPr>
          </w:p>
        </w:tc>
      </w:tr>
      <w:tr w:rsidR="00EC1425" w:rsidRPr="000A6459" w:rsidTr="00190651">
        <w:trPr>
          <w:trHeight w:val="338"/>
        </w:trPr>
        <w:tc>
          <w:tcPr>
            <w:tcW w:w="567" w:type="dxa"/>
          </w:tcPr>
          <w:p w:rsidR="00EC1425" w:rsidRPr="000A6459" w:rsidRDefault="00EC1425" w:rsidP="00056FC4">
            <w:pPr>
              <w:jc w:val="center"/>
            </w:pPr>
            <w:r w:rsidRPr="000A6459">
              <w:lastRenderedPageBreak/>
              <w:t>12</w:t>
            </w:r>
          </w:p>
        </w:tc>
        <w:tc>
          <w:tcPr>
            <w:tcW w:w="3261" w:type="dxa"/>
          </w:tcPr>
          <w:p w:rsidR="00EC1425" w:rsidRPr="00190651" w:rsidRDefault="00EC1425" w:rsidP="00056FC4">
            <w:r w:rsidRPr="00190651">
              <w:t>Відновлення функціонування медико-санітарних частин на підприємствах області для забезпечення якості та періодичності проведення медичних оглядів працівників відповідно до нормативних актів</w:t>
            </w:r>
          </w:p>
          <w:p w:rsidR="00EC1425" w:rsidRPr="00190651" w:rsidRDefault="00EC1425" w:rsidP="00056FC4">
            <w:pPr>
              <w:rPr>
                <w:sz w:val="16"/>
                <w:szCs w:val="16"/>
              </w:rPr>
            </w:pPr>
          </w:p>
        </w:tc>
        <w:tc>
          <w:tcPr>
            <w:tcW w:w="6237" w:type="dxa"/>
          </w:tcPr>
          <w:p w:rsidR="00EC1425" w:rsidRPr="00F93898" w:rsidRDefault="00EC1425" w:rsidP="004127C3">
            <w:pPr>
              <w:ind w:firstLine="655"/>
              <w:jc w:val="both"/>
            </w:pPr>
            <w:r w:rsidRPr="00F93898">
              <w:t>У звітному році функціонування медико-санітарних частин на підприємствах області не відновлювалось, через відсутність коштів на їх утримання.</w:t>
            </w:r>
          </w:p>
        </w:tc>
      </w:tr>
      <w:tr w:rsidR="00EC1425" w:rsidRPr="00F156FE" w:rsidTr="00190651">
        <w:trPr>
          <w:trHeight w:val="338"/>
        </w:trPr>
        <w:tc>
          <w:tcPr>
            <w:tcW w:w="567" w:type="dxa"/>
          </w:tcPr>
          <w:p w:rsidR="00EC1425" w:rsidRPr="00F156FE" w:rsidRDefault="00EC1425" w:rsidP="00056FC4">
            <w:pPr>
              <w:jc w:val="center"/>
            </w:pPr>
            <w:r w:rsidRPr="00F156FE">
              <w:t>13</w:t>
            </w:r>
          </w:p>
        </w:tc>
        <w:tc>
          <w:tcPr>
            <w:tcW w:w="3261" w:type="dxa"/>
          </w:tcPr>
          <w:p w:rsidR="00EC1425" w:rsidRPr="00190651" w:rsidRDefault="00EC1425" w:rsidP="00056FC4">
            <w:r w:rsidRPr="00190651">
              <w:t>Здійснення контролю за виконанням заходів щодо профілактики виникнення професійних захворювань (отруєнь) серед працюючого населення</w:t>
            </w:r>
          </w:p>
        </w:tc>
        <w:tc>
          <w:tcPr>
            <w:tcW w:w="6237" w:type="dxa"/>
          </w:tcPr>
          <w:p w:rsidR="00F156FE" w:rsidRPr="00F93898" w:rsidRDefault="00F156FE" w:rsidP="00F156FE">
            <w:pPr>
              <w:ind w:firstLine="601"/>
              <w:jc w:val="both"/>
            </w:pPr>
            <w:r w:rsidRPr="00F93898">
              <w:t>З</w:t>
            </w:r>
            <w:r w:rsidR="00EC1425" w:rsidRPr="00F93898">
              <w:t>аходи, направлені на покращення умов праці та профілактику виникнення професійних захворювань серед працюючих, на підприємствах області, запроваджуються вкрай повільно і лише поодинокими підприємствами.</w:t>
            </w:r>
          </w:p>
          <w:p w:rsidR="00471BBB" w:rsidRDefault="006419D2" w:rsidP="00F156FE">
            <w:pPr>
              <w:ind w:firstLine="601"/>
              <w:jc w:val="both"/>
            </w:pPr>
            <w:r w:rsidRPr="00F93898">
              <w:t xml:space="preserve"> Основна причина невиконання – відсутність фінансування. </w:t>
            </w:r>
          </w:p>
          <w:p w:rsidR="00190651" w:rsidRPr="00190651" w:rsidRDefault="00190651" w:rsidP="00F156FE">
            <w:pPr>
              <w:ind w:firstLine="601"/>
              <w:jc w:val="both"/>
              <w:rPr>
                <w:sz w:val="16"/>
                <w:szCs w:val="16"/>
              </w:rPr>
            </w:pPr>
          </w:p>
        </w:tc>
      </w:tr>
      <w:tr w:rsidR="00EC1425" w:rsidRPr="00F156FE" w:rsidTr="00190651">
        <w:trPr>
          <w:trHeight w:val="338"/>
        </w:trPr>
        <w:tc>
          <w:tcPr>
            <w:tcW w:w="567" w:type="dxa"/>
          </w:tcPr>
          <w:p w:rsidR="00EC1425" w:rsidRPr="00F156FE" w:rsidRDefault="00EC1425" w:rsidP="00056FC4">
            <w:pPr>
              <w:jc w:val="center"/>
            </w:pPr>
            <w:r w:rsidRPr="00F156FE">
              <w:t>14</w:t>
            </w:r>
          </w:p>
        </w:tc>
        <w:tc>
          <w:tcPr>
            <w:tcW w:w="3261" w:type="dxa"/>
          </w:tcPr>
          <w:p w:rsidR="00EC1425" w:rsidRPr="00190651" w:rsidRDefault="00EC1425" w:rsidP="00056FC4">
            <w:r w:rsidRPr="00190651">
              <w:t>Здійснення контролю за проведенням періодичних медичних оглядів працівників, зайнятих у шкідливих та небезпечних умовах праці</w:t>
            </w:r>
          </w:p>
        </w:tc>
        <w:tc>
          <w:tcPr>
            <w:tcW w:w="6237" w:type="dxa"/>
          </w:tcPr>
          <w:p w:rsidR="002E7636" w:rsidRDefault="00F156FE" w:rsidP="00190651">
            <w:pPr>
              <w:ind w:firstLine="601"/>
              <w:jc w:val="both"/>
            </w:pPr>
            <w:r w:rsidRPr="00190651">
              <w:t xml:space="preserve">Фахівцями Управління  Держпраці у житомирській області відповідно до наданих повноважень </w:t>
            </w:r>
            <w:r w:rsidR="00190651" w:rsidRPr="00190651">
              <w:t>підготовлено 545 актів визначення категорій працівників, які підлягають періодичним медичним оглядам та опрацьовано 579 заключних актів за результатами медичних оглядів випадків хронічних професійних захворювань.</w:t>
            </w:r>
          </w:p>
          <w:p w:rsidR="00190651" w:rsidRPr="00190651" w:rsidRDefault="00190651" w:rsidP="00190651">
            <w:pPr>
              <w:ind w:firstLine="601"/>
              <w:jc w:val="both"/>
              <w:rPr>
                <w:sz w:val="16"/>
                <w:szCs w:val="16"/>
              </w:rPr>
            </w:pPr>
          </w:p>
        </w:tc>
      </w:tr>
      <w:tr w:rsidR="00EC1425" w:rsidRPr="00FC3EBF" w:rsidTr="00190651">
        <w:trPr>
          <w:trHeight w:val="338"/>
        </w:trPr>
        <w:tc>
          <w:tcPr>
            <w:tcW w:w="567" w:type="dxa"/>
          </w:tcPr>
          <w:p w:rsidR="00EC1425" w:rsidRPr="00FC3EBF" w:rsidRDefault="00EC1425" w:rsidP="00056FC4">
            <w:pPr>
              <w:jc w:val="center"/>
            </w:pPr>
            <w:r w:rsidRPr="00FC3EBF">
              <w:t>15</w:t>
            </w:r>
          </w:p>
        </w:tc>
        <w:tc>
          <w:tcPr>
            <w:tcW w:w="3261" w:type="dxa"/>
          </w:tcPr>
          <w:p w:rsidR="00EC1425" w:rsidRPr="00FC3EBF" w:rsidRDefault="00EC1425" w:rsidP="00056FC4">
            <w:r w:rsidRPr="00FC3EBF">
              <w:t>Здійснення постійного контролю за проведенням атестації робочих місць із шкідливими та важкими умовами праці, приведення їх у відповідність до вимог нормативних актів про охорону праці</w:t>
            </w:r>
          </w:p>
          <w:p w:rsidR="00EC1425" w:rsidRPr="00FC3EBF" w:rsidRDefault="00EC1425" w:rsidP="00056FC4"/>
        </w:tc>
        <w:tc>
          <w:tcPr>
            <w:tcW w:w="6237" w:type="dxa"/>
          </w:tcPr>
          <w:p w:rsidR="00EC1425" w:rsidRPr="00190651" w:rsidRDefault="00EC1425" w:rsidP="00CF475D">
            <w:pPr>
              <w:ind w:firstLine="655"/>
              <w:jc w:val="both"/>
            </w:pPr>
            <w:r w:rsidRPr="00190651">
              <w:t xml:space="preserve">Забезпечення реалізації державної політики щодо соціального захисту працюючих, зайнятих на роботах з несприятливими умовами праці на підприємствах, в установах та організаціях, незалежно від виду діяльності та форми власності, в частині здійснення державного контролю за якістю проведення атестації робочих місць за умовами праці та віднесенням їх до категорії „шкідливі і небезпечні для здоров’я”, правильністю застосування Списків виробництв, робіт, професій, посад і показників за якими встановлюються пільгові пенсії, скорочений робочий тиждень, надаються щорічні додаткові відпустки за шкідливі умови та особливий характер праці покладено на органи </w:t>
            </w:r>
            <w:r w:rsidR="00190651" w:rsidRPr="00190651">
              <w:t>Держпраці</w:t>
            </w:r>
            <w:r w:rsidRPr="00190651">
              <w:t>.</w:t>
            </w:r>
          </w:p>
          <w:p w:rsidR="006419D2" w:rsidRPr="00190651" w:rsidRDefault="00190651" w:rsidP="006419D2">
            <w:pPr>
              <w:ind w:firstLine="655"/>
              <w:jc w:val="both"/>
            </w:pPr>
            <w:r w:rsidRPr="00190651">
              <w:t>Спеціалістами відділу з питань експертизи умов праці  Управління Держпраці у Житомирській області за минулий рік проведено 617 превентивних заходів про надання пільг і компенсацій за роботу в шкідливих умовах праці; про проведення атестації робочих місць; про тривалість робочого дня на роботах в шкідливих і важких умовах праці та ін.</w:t>
            </w:r>
          </w:p>
          <w:p w:rsidR="00EC1425" w:rsidRPr="00190651" w:rsidRDefault="00EC1425" w:rsidP="002E7636">
            <w:pPr>
              <w:ind w:firstLine="655"/>
              <w:jc w:val="both"/>
              <w:rPr>
                <w:sz w:val="16"/>
                <w:szCs w:val="16"/>
              </w:rPr>
            </w:pPr>
          </w:p>
        </w:tc>
      </w:tr>
      <w:tr w:rsidR="00EC1425" w:rsidRPr="001B440A" w:rsidTr="00190651">
        <w:trPr>
          <w:trHeight w:val="338"/>
        </w:trPr>
        <w:tc>
          <w:tcPr>
            <w:tcW w:w="567" w:type="dxa"/>
          </w:tcPr>
          <w:p w:rsidR="00EC1425" w:rsidRPr="001B440A" w:rsidRDefault="00EC1425" w:rsidP="00056FC4">
            <w:pPr>
              <w:jc w:val="center"/>
            </w:pPr>
            <w:r w:rsidRPr="001B440A">
              <w:t>16</w:t>
            </w:r>
          </w:p>
        </w:tc>
        <w:tc>
          <w:tcPr>
            <w:tcW w:w="3261" w:type="dxa"/>
          </w:tcPr>
          <w:p w:rsidR="00EC1425" w:rsidRPr="001B440A" w:rsidRDefault="00EC1425" w:rsidP="00056FC4">
            <w:r w:rsidRPr="001B440A">
              <w:t xml:space="preserve">Забезпечення здійснення </w:t>
            </w:r>
            <w:r w:rsidRPr="001B440A">
              <w:lastRenderedPageBreak/>
              <w:t>дієвого громадського контролю за дотриманням роботодавцями вимог законодавства про охорону праці</w:t>
            </w:r>
          </w:p>
          <w:p w:rsidR="00EC1425" w:rsidRPr="001B440A" w:rsidRDefault="00EC1425" w:rsidP="00056FC4">
            <w:pPr>
              <w:rPr>
                <w:sz w:val="16"/>
                <w:szCs w:val="16"/>
              </w:rPr>
            </w:pPr>
          </w:p>
        </w:tc>
        <w:tc>
          <w:tcPr>
            <w:tcW w:w="6237" w:type="dxa"/>
          </w:tcPr>
          <w:p w:rsidR="00EC1425" w:rsidRDefault="002368E7" w:rsidP="00CF475D">
            <w:pPr>
              <w:ind w:firstLine="655"/>
              <w:jc w:val="both"/>
            </w:pPr>
            <w:r w:rsidRPr="002368E7">
              <w:lastRenderedPageBreak/>
              <w:t xml:space="preserve">З метою здійснення громадського контролю за </w:t>
            </w:r>
            <w:r w:rsidRPr="002368E7">
              <w:lastRenderedPageBreak/>
              <w:t>додержанням законодавства про охорону праці представниками профспілок постійно проводились перевірки на суб’єктах господарювання області, профспілковому активу яких надавалась консультативно-методична допомога щодо формування, укладання колективних договорів та інших питань з охорони праці.</w:t>
            </w:r>
          </w:p>
          <w:p w:rsidR="00190651" w:rsidRPr="00190651" w:rsidRDefault="00190651" w:rsidP="00190651">
            <w:pPr>
              <w:jc w:val="both"/>
              <w:rPr>
                <w:sz w:val="16"/>
                <w:szCs w:val="16"/>
              </w:rPr>
            </w:pPr>
          </w:p>
        </w:tc>
      </w:tr>
      <w:tr w:rsidR="00EC1425" w:rsidRPr="00FB50A3" w:rsidTr="00190651">
        <w:trPr>
          <w:trHeight w:val="338"/>
        </w:trPr>
        <w:tc>
          <w:tcPr>
            <w:tcW w:w="567" w:type="dxa"/>
          </w:tcPr>
          <w:p w:rsidR="00EC1425" w:rsidRPr="00FB50A3" w:rsidRDefault="00EC1425" w:rsidP="00056FC4">
            <w:pPr>
              <w:jc w:val="center"/>
            </w:pPr>
            <w:r w:rsidRPr="00FB50A3">
              <w:lastRenderedPageBreak/>
              <w:t>17</w:t>
            </w:r>
          </w:p>
        </w:tc>
        <w:tc>
          <w:tcPr>
            <w:tcW w:w="3261" w:type="dxa"/>
          </w:tcPr>
          <w:p w:rsidR="00EC1425" w:rsidRPr="00FB50A3" w:rsidRDefault="00EC1425" w:rsidP="00056FC4">
            <w:r w:rsidRPr="00FB50A3">
              <w:t>Підготовка матеріалів про обставини та причини нещасних випадків, аварій на виробництві</w:t>
            </w:r>
          </w:p>
        </w:tc>
        <w:tc>
          <w:tcPr>
            <w:tcW w:w="6237" w:type="dxa"/>
          </w:tcPr>
          <w:p w:rsidR="00A944BD" w:rsidRPr="00A944BD" w:rsidRDefault="00A944BD" w:rsidP="00463283">
            <w:pPr>
              <w:ind w:firstLine="655"/>
              <w:jc w:val="both"/>
            </w:pPr>
            <w:r w:rsidRPr="00A944BD">
              <w:t>У 2017 році проведено 1226 перевірок суб’єктів господарювання та проведено 1557 перевірок виробничих об’єктів.</w:t>
            </w:r>
          </w:p>
          <w:p w:rsidR="00EC1425" w:rsidRPr="00A944BD" w:rsidRDefault="00EC1425" w:rsidP="00463283">
            <w:pPr>
              <w:ind w:firstLine="655"/>
              <w:jc w:val="both"/>
            </w:pPr>
            <w:r w:rsidRPr="00A944BD">
              <w:t>Для недопущення випадків неякісного проведення розслідування нещасних випадків на виробництві, проводилися додаткові навчання інспекторського складу; посадові особи суб'єктів господарювання притягалися до адміністративної відповідальності; проводилися семінар-наради з керівниками служб охорони праці та інженерами з охорони праці з питань аналізу проведення розслідувань нещасних випадків.</w:t>
            </w:r>
          </w:p>
          <w:p w:rsidR="00EC1425" w:rsidRPr="00A944BD" w:rsidRDefault="00EC1425" w:rsidP="00463283">
            <w:pPr>
              <w:ind w:firstLine="655"/>
              <w:jc w:val="both"/>
            </w:pPr>
            <w:r w:rsidRPr="00A944BD">
              <w:t>Також у 201</w:t>
            </w:r>
            <w:r w:rsidR="00A944BD" w:rsidRPr="00A944BD">
              <w:t>7</w:t>
            </w:r>
            <w:r w:rsidRPr="00A944BD">
              <w:t xml:space="preserve"> році посадовими особами здійснювався аналіз затверджених актів за формою Н-5 та Н-1, які були направлені роботодавцями на адресу Управління, на предмет виявлення недоліків в оформленні актів згідно вимог Порядку проведення розслідування та ведення обліку нещасних випадків, професійних захворювань і аварій на виробництві, затвердженого Постановою Кабінету Міністрів України         від 30.11.2011 року №1232, визначення причин нещасних випадків та відповідальних осіб.</w:t>
            </w:r>
          </w:p>
          <w:p w:rsidR="006419D2" w:rsidRPr="00A944BD" w:rsidRDefault="006419D2" w:rsidP="006419D2">
            <w:pPr>
              <w:ind w:firstLine="655"/>
              <w:jc w:val="both"/>
            </w:pPr>
            <w:r w:rsidRPr="00A944BD">
              <w:t>Інформацію про розслідування нещасних випадків, заходи для їх попередження, причини настання, винних осіб та інше постійно публікуються на офіційному сайті територіального управління</w:t>
            </w:r>
            <w:r w:rsidR="00471BBB" w:rsidRPr="00A944BD">
              <w:t xml:space="preserve"> </w:t>
            </w:r>
            <w:r w:rsidRPr="00A944BD">
              <w:t>в мережі Інтернет.</w:t>
            </w:r>
          </w:p>
          <w:p w:rsidR="002368E7" w:rsidRPr="002368E7" w:rsidRDefault="002368E7" w:rsidP="002368E7">
            <w:pPr>
              <w:ind w:firstLine="655"/>
              <w:jc w:val="both"/>
            </w:pPr>
            <w:r w:rsidRPr="002368E7">
              <w:t>Під час проведення розслідувань нещасних випадків на виробництві і професійних захворювань до складу комісії із розслідування обов’язково включається представник з питань охорони праці відповідної профспілкової організації.</w:t>
            </w:r>
          </w:p>
          <w:p w:rsidR="002368E7" w:rsidRPr="002368E7" w:rsidRDefault="002368E7" w:rsidP="002368E7">
            <w:pPr>
              <w:ind w:firstLine="655"/>
              <w:jc w:val="both"/>
            </w:pPr>
            <w:r w:rsidRPr="002368E7">
              <w:t>В 2017 році головний технічний інспектор праці ФПО брав участь у 16 комісіях із спеціального розслідування нещасних випадків на виробництві, за результатами яких розроблені заходи щодо усунення причин їх настання. Причини та обставини нещасних випадків постійно висвітлюються в ЗМІ, на веб-сайтах, доводяться до профспілкового активу на семінарах і навчанні з питань охорони праці та два рази на рік робиться їх аналіз, який надсилається головам членських організацій ФПО.</w:t>
            </w:r>
          </w:p>
          <w:p w:rsidR="002368E7" w:rsidRPr="00561B51" w:rsidRDefault="002368E7" w:rsidP="00A944BD">
            <w:pPr>
              <w:jc w:val="both"/>
              <w:rPr>
                <w:sz w:val="16"/>
                <w:szCs w:val="16"/>
              </w:rPr>
            </w:pPr>
          </w:p>
        </w:tc>
      </w:tr>
      <w:tr w:rsidR="00EC1425" w:rsidRPr="00F11D85" w:rsidTr="00190651">
        <w:trPr>
          <w:trHeight w:val="338"/>
        </w:trPr>
        <w:tc>
          <w:tcPr>
            <w:tcW w:w="567" w:type="dxa"/>
          </w:tcPr>
          <w:p w:rsidR="00EC1425" w:rsidRPr="00F11D85" w:rsidRDefault="00EC1425" w:rsidP="00056FC4">
            <w:pPr>
              <w:jc w:val="center"/>
            </w:pPr>
            <w:r w:rsidRPr="00F11D85">
              <w:t>18</w:t>
            </w:r>
          </w:p>
        </w:tc>
        <w:tc>
          <w:tcPr>
            <w:tcW w:w="3261" w:type="dxa"/>
          </w:tcPr>
          <w:p w:rsidR="00EC1425" w:rsidRPr="00F11D85" w:rsidRDefault="00EC1425" w:rsidP="00056FC4">
            <w:r w:rsidRPr="00F11D85">
              <w:t xml:space="preserve">Проведення комплексних перевірок стану промислової безпеки на суб’єктах </w:t>
            </w:r>
            <w:r w:rsidRPr="00F11D85">
              <w:lastRenderedPageBreak/>
              <w:t>господарювання області</w:t>
            </w:r>
          </w:p>
          <w:p w:rsidR="00EC1425" w:rsidRPr="00F11D85" w:rsidRDefault="00EC1425" w:rsidP="00056FC4"/>
        </w:tc>
        <w:tc>
          <w:tcPr>
            <w:tcW w:w="6237" w:type="dxa"/>
          </w:tcPr>
          <w:p w:rsidR="00EC1425" w:rsidRPr="00A944BD" w:rsidRDefault="001B440A" w:rsidP="00463283">
            <w:pPr>
              <w:ind w:firstLine="655"/>
              <w:jc w:val="both"/>
            </w:pPr>
            <w:r w:rsidRPr="00A944BD">
              <w:lastRenderedPageBreak/>
              <w:t xml:space="preserve">Під час проведення розслідувань нещасних випадків на виробництві разом з представниками управління Держпраці в області та Фонду соціального </w:t>
            </w:r>
            <w:r w:rsidRPr="00A944BD">
              <w:lastRenderedPageBreak/>
              <w:t>страхування від нещасних випадків на виробництві та професійних захворювань України проводились комплексні перевірки щодо додержанням законодавства про охорону праці</w:t>
            </w:r>
            <w:r w:rsidR="00EC1425" w:rsidRPr="00A944BD">
              <w:t xml:space="preserve"> суб’єктами господарювання.</w:t>
            </w:r>
          </w:p>
          <w:p w:rsidR="00A944BD" w:rsidRDefault="00A944BD" w:rsidP="00A944BD">
            <w:pPr>
              <w:ind w:firstLine="655"/>
              <w:jc w:val="both"/>
            </w:pPr>
            <w:r>
              <w:t>За інформацією управління Держпраці у Житомирській області з</w:t>
            </w:r>
            <w:r w:rsidRPr="00A932D9">
              <w:t>агальна кількість піднаглядових суб’єктів господарювання – 16909, виробничих об’єктів – 45261</w:t>
            </w:r>
            <w:r>
              <w:t>.</w:t>
            </w:r>
            <w:r w:rsidRPr="00A932D9">
              <w:t xml:space="preserve"> </w:t>
            </w:r>
          </w:p>
          <w:p w:rsidR="00F11680" w:rsidRDefault="00F11680" w:rsidP="00A944BD">
            <w:pPr>
              <w:ind w:firstLine="655"/>
              <w:jc w:val="both"/>
            </w:pPr>
            <w:r w:rsidRPr="00A944BD">
              <w:t>Загальна кількість спеціальних розслідувань, призначених у 2017 році – 25, визнано нещасних випадків пов’язаними із виробництвом 14 (56,0 %).</w:t>
            </w:r>
          </w:p>
          <w:p w:rsidR="00A944BD" w:rsidRPr="00A932D9" w:rsidRDefault="00A944BD" w:rsidP="00A944BD">
            <w:pPr>
              <w:ind w:firstLine="655"/>
              <w:jc w:val="both"/>
            </w:pPr>
            <w:r>
              <w:t>При перевірках суб'єктів господарювання н</w:t>
            </w:r>
            <w:r w:rsidRPr="00A932D9">
              <w:t>аправлено до адміністративного суду 201 позовних заяв щодо призупинення (зупинення, обмеження) виробництва, виконання робіт</w:t>
            </w:r>
            <w:r>
              <w:t>.</w:t>
            </w:r>
          </w:p>
          <w:p w:rsidR="00A944BD" w:rsidRPr="00A932D9" w:rsidRDefault="00A944BD" w:rsidP="00A944BD">
            <w:pPr>
              <w:ind w:firstLine="655"/>
              <w:jc w:val="both"/>
            </w:pPr>
            <w:r>
              <w:t>К</w:t>
            </w:r>
            <w:r w:rsidRPr="00A932D9">
              <w:t>ількість випадків призупинення (зупинення, обмеження) виробництва, виконання робіт за результатами перевірок 592 (за рішенням суду)</w:t>
            </w:r>
            <w:r>
              <w:t>.</w:t>
            </w:r>
          </w:p>
          <w:p w:rsidR="00A944BD" w:rsidRPr="00A932D9" w:rsidRDefault="00A944BD" w:rsidP="00A944BD">
            <w:pPr>
              <w:ind w:firstLine="655"/>
              <w:jc w:val="both"/>
            </w:pPr>
            <w:r>
              <w:t>К</w:t>
            </w:r>
            <w:r w:rsidRPr="00A932D9">
              <w:t>ількість випадків призупинення (зупинення, обмеження) виробництва, виконання робіт за результатами перевірок 1 (за власним бажанням суб’єкта господарювання</w:t>
            </w:r>
            <w:r>
              <w:t>.</w:t>
            </w:r>
          </w:p>
          <w:p w:rsidR="00A944BD" w:rsidRPr="00A944BD" w:rsidRDefault="00A944BD" w:rsidP="00A944BD">
            <w:pPr>
              <w:ind w:firstLine="655"/>
              <w:jc w:val="both"/>
            </w:pPr>
            <w:r>
              <w:t>П</w:t>
            </w:r>
            <w:r w:rsidRPr="00A932D9">
              <w:t>ритягнуто до адміністративної відповідальності 186 працівників, у т.ч. 117 керівників підприємств.</w:t>
            </w:r>
          </w:p>
          <w:p w:rsidR="00EC1425" w:rsidRPr="00561B51" w:rsidRDefault="00EC1425" w:rsidP="001F1453">
            <w:pPr>
              <w:ind w:firstLine="601"/>
              <w:jc w:val="both"/>
              <w:rPr>
                <w:sz w:val="16"/>
                <w:szCs w:val="16"/>
                <w:highlight w:val="yellow"/>
              </w:rPr>
            </w:pPr>
          </w:p>
        </w:tc>
      </w:tr>
      <w:tr w:rsidR="00EC1425" w:rsidRPr="00F11D85" w:rsidTr="00190651">
        <w:trPr>
          <w:trHeight w:val="338"/>
        </w:trPr>
        <w:tc>
          <w:tcPr>
            <w:tcW w:w="567" w:type="dxa"/>
          </w:tcPr>
          <w:p w:rsidR="00EC1425" w:rsidRPr="00F11D85" w:rsidRDefault="00EC1425" w:rsidP="00056FC4">
            <w:pPr>
              <w:jc w:val="center"/>
            </w:pPr>
            <w:r w:rsidRPr="00F11D85">
              <w:lastRenderedPageBreak/>
              <w:t>19</w:t>
            </w:r>
          </w:p>
        </w:tc>
        <w:tc>
          <w:tcPr>
            <w:tcW w:w="3261" w:type="dxa"/>
          </w:tcPr>
          <w:p w:rsidR="00EC1425" w:rsidRPr="00F11D85" w:rsidRDefault="00EC1425" w:rsidP="00056FC4">
            <w:r w:rsidRPr="00F11D85">
              <w:t xml:space="preserve">Контроль за проведенням суб’єктами  </w:t>
            </w:r>
            <w:r w:rsidR="006419D2" w:rsidRPr="00F11D85">
              <w:t>господарювання ідентифікації, декларування об’єктів підвищеної небезпеки відповідно до вимог постанови Кабінету Міністрів України         від 11.07.2002  № 956</w:t>
            </w:r>
          </w:p>
        </w:tc>
        <w:tc>
          <w:tcPr>
            <w:tcW w:w="6237" w:type="dxa"/>
          </w:tcPr>
          <w:p w:rsidR="00EC1425" w:rsidRDefault="00132357" w:rsidP="00132357">
            <w:pPr>
              <w:ind w:firstLine="655"/>
              <w:jc w:val="both"/>
            </w:pPr>
            <w:r w:rsidRPr="00132357">
              <w:t>Під час проведення заходів державного нагляду в обов’язковому порядку розглядалися питання контролю за проведенням суб’єктами господарювання ідентифікації, декларування об’єктів підвищеної небезпеки відповідно до вимог постанови Кабінету Міністрів України від 11.07.2002 №956, забезпечення на об’єктах комунальної власності проведення обстеження технічного стану, паспортизації будівель і споруд, що мають ознаки аварійності, здійснення постійного контролю за дотриманням та приведенням до вимог нормативно-правових актів з охорони праці щодо встановлення та використання потенційно небезпечного устаткування та обладнання в установах освіти і охорони здоров'я області.</w:t>
            </w:r>
          </w:p>
          <w:p w:rsidR="00561B51" w:rsidRPr="00561B51" w:rsidRDefault="00561B51" w:rsidP="00132357">
            <w:pPr>
              <w:ind w:firstLine="655"/>
              <w:jc w:val="both"/>
              <w:rPr>
                <w:sz w:val="16"/>
                <w:szCs w:val="16"/>
              </w:rPr>
            </w:pPr>
          </w:p>
        </w:tc>
      </w:tr>
      <w:tr w:rsidR="00EC1425" w:rsidRPr="00715373" w:rsidTr="00190651">
        <w:trPr>
          <w:trHeight w:val="338"/>
        </w:trPr>
        <w:tc>
          <w:tcPr>
            <w:tcW w:w="567" w:type="dxa"/>
          </w:tcPr>
          <w:p w:rsidR="00EC1425" w:rsidRPr="00715373" w:rsidRDefault="00EC1425" w:rsidP="00056FC4">
            <w:pPr>
              <w:jc w:val="center"/>
            </w:pPr>
            <w:r w:rsidRPr="00715373">
              <w:t>20</w:t>
            </w:r>
          </w:p>
        </w:tc>
        <w:tc>
          <w:tcPr>
            <w:tcW w:w="3261" w:type="dxa"/>
          </w:tcPr>
          <w:p w:rsidR="00EC1425" w:rsidRPr="00715373" w:rsidRDefault="00EC1425" w:rsidP="00056FC4">
            <w:r w:rsidRPr="00715373">
              <w:t>Забезпечення на об’єктах комунальної власності проведення обстеження технічного стану, паспортизації будівель і споруд, що мають ознаки аварійності</w:t>
            </w:r>
          </w:p>
          <w:p w:rsidR="002E7636" w:rsidRPr="00715373" w:rsidRDefault="002E7636" w:rsidP="00056FC4">
            <w:pPr>
              <w:rPr>
                <w:sz w:val="16"/>
                <w:szCs w:val="16"/>
              </w:rPr>
            </w:pPr>
          </w:p>
        </w:tc>
        <w:tc>
          <w:tcPr>
            <w:tcW w:w="6237" w:type="dxa"/>
          </w:tcPr>
          <w:p w:rsidR="00EC1425" w:rsidRPr="0033648B" w:rsidRDefault="00EC1425" w:rsidP="00521124">
            <w:pPr>
              <w:ind w:firstLine="655"/>
              <w:jc w:val="both"/>
            </w:pPr>
            <w:r w:rsidRPr="0033648B">
              <w:t>При проведенні на об’єктах комунальної власності обстеження технічного стану та паспортизації будівель і споруд, що мають ознаки аварійності, здійснюється постійний контроль за дотриманням та приведенням стану об’єктів  до вимог нормативно-правових актів з охорони праці.</w:t>
            </w:r>
          </w:p>
        </w:tc>
      </w:tr>
      <w:tr w:rsidR="00EC1425" w:rsidRPr="00FB598C" w:rsidTr="00190651">
        <w:trPr>
          <w:trHeight w:val="338"/>
        </w:trPr>
        <w:tc>
          <w:tcPr>
            <w:tcW w:w="567" w:type="dxa"/>
          </w:tcPr>
          <w:p w:rsidR="00EC1425" w:rsidRPr="00F11D85" w:rsidRDefault="00EC1425" w:rsidP="00056FC4">
            <w:r w:rsidRPr="00F11D85">
              <w:t>21</w:t>
            </w:r>
          </w:p>
        </w:tc>
        <w:tc>
          <w:tcPr>
            <w:tcW w:w="3261" w:type="dxa"/>
          </w:tcPr>
          <w:p w:rsidR="00EC1425" w:rsidRPr="00F11D85" w:rsidRDefault="00EC1425" w:rsidP="00056FC4">
            <w:r w:rsidRPr="00F11D85">
              <w:t xml:space="preserve">Здійснення постійного контролю за дотриманням та приведенням до вимог </w:t>
            </w:r>
            <w:r w:rsidRPr="00F11D85">
              <w:lastRenderedPageBreak/>
              <w:t>нормативно-правових актів з охорони праці щодо встановлення та використання потенційно небезпечного устаткування та обладнання в установах освіти і охорони здоров'я області</w:t>
            </w:r>
          </w:p>
        </w:tc>
        <w:tc>
          <w:tcPr>
            <w:tcW w:w="6237" w:type="dxa"/>
          </w:tcPr>
          <w:p w:rsidR="00132357" w:rsidRPr="00132357" w:rsidRDefault="00132357" w:rsidP="00132357">
            <w:pPr>
              <w:ind w:firstLine="655"/>
              <w:jc w:val="both"/>
            </w:pPr>
            <w:r w:rsidRPr="00132357">
              <w:lastRenderedPageBreak/>
              <w:t xml:space="preserve">З метою здійснення постійного контролю за дотриманням та приведенням до вимог нормативно-правових актів з охорони праці щодо встановлення та </w:t>
            </w:r>
            <w:r w:rsidRPr="00132357">
              <w:lastRenderedPageBreak/>
              <w:t>використання потенційно небезпечного устаткування та обладнання в установах освіти і охорони здоров'я області Управлінням проведено ряд семінарів-нарад з працівниками та посадовими особами лікувально-профілактичних закладів області, які використовують кисень та посудини, що працюють під тиском, на яких було надано роз’яснення та звернено особливу увагу щодо дотримання вимог нормативно-правових актів з охорони праці при експлуатації обладнання підвищеної небезпеки.</w:t>
            </w:r>
          </w:p>
          <w:p w:rsidR="00132357" w:rsidRPr="00132357" w:rsidRDefault="00132357" w:rsidP="00132357">
            <w:pPr>
              <w:ind w:firstLine="655"/>
              <w:jc w:val="both"/>
            </w:pPr>
            <w:r w:rsidRPr="00132357">
              <w:t>Було проведено превентивні заходи по безпечній експлуатації котельного обладнання та устаткування з директорами, заступниками директорів, відповідальними особами загальноосвітніх шкіл та дошкільних навчальних закладів.</w:t>
            </w:r>
          </w:p>
          <w:p w:rsidR="00EC1425" w:rsidRDefault="00132357" w:rsidP="00132357">
            <w:pPr>
              <w:ind w:firstLine="655"/>
              <w:jc w:val="both"/>
            </w:pPr>
            <w:r w:rsidRPr="00132357">
              <w:t>Окремо були проведені збори з начальникам районних відділів освіти та директорами професійно-технічних закладів з питань готовності навчальних закладів до нового навчального року та безпечного їх функціонування в осінньо-зимовий період.</w:t>
            </w:r>
          </w:p>
          <w:p w:rsidR="00561B51" w:rsidRPr="00561B51" w:rsidRDefault="00561B51" w:rsidP="00132357">
            <w:pPr>
              <w:ind w:firstLine="655"/>
              <w:jc w:val="both"/>
              <w:rPr>
                <w:sz w:val="16"/>
                <w:szCs w:val="16"/>
              </w:rPr>
            </w:pPr>
          </w:p>
        </w:tc>
      </w:tr>
    </w:tbl>
    <w:p w:rsidR="00015F85" w:rsidRDefault="00015F85" w:rsidP="00017EB5"/>
    <w:p w:rsidR="00A80C44" w:rsidRPr="00A80C44" w:rsidRDefault="00A80C44" w:rsidP="00017EB5">
      <w:r w:rsidRPr="00A80C44">
        <w:t>Заступник директора департаменту праці</w:t>
      </w:r>
    </w:p>
    <w:p w:rsidR="00A80C44" w:rsidRPr="00A80C44" w:rsidRDefault="00A80C44" w:rsidP="00017EB5">
      <w:r w:rsidRPr="00A80C44">
        <w:t>та соціального захисту населення облдержадміністрації                                      С.М. Бойм</w:t>
      </w:r>
    </w:p>
    <w:p w:rsidR="00A80C44" w:rsidRPr="00A80C44" w:rsidRDefault="00A80C44"/>
    <w:sectPr w:rsidR="00A80C44" w:rsidRPr="00A80C44" w:rsidSect="00587207">
      <w:headerReference w:type="default" r:id="rId7"/>
      <w:pgSz w:w="11906" w:h="16838"/>
      <w:pgMar w:top="851" w:right="851"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414" w:rsidRDefault="00780414" w:rsidP="003A2F27">
      <w:r>
        <w:separator/>
      </w:r>
    </w:p>
  </w:endnote>
  <w:endnote w:type="continuationSeparator" w:id="0">
    <w:p w:rsidR="00780414" w:rsidRDefault="00780414" w:rsidP="003A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414" w:rsidRDefault="00780414" w:rsidP="003A2F27">
      <w:r>
        <w:separator/>
      </w:r>
    </w:p>
  </w:footnote>
  <w:footnote w:type="continuationSeparator" w:id="0">
    <w:p w:rsidR="00780414" w:rsidRDefault="00780414" w:rsidP="003A2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27" w:rsidRDefault="003A2F27">
    <w:pPr>
      <w:pStyle w:val="a7"/>
      <w:jc w:val="center"/>
    </w:pPr>
    <w:r>
      <w:fldChar w:fldCharType="begin"/>
    </w:r>
    <w:r>
      <w:instrText xml:space="preserve"> PAGE   \* MERGEFORMAT </w:instrText>
    </w:r>
    <w:r>
      <w:fldChar w:fldCharType="separate"/>
    </w:r>
    <w:r w:rsidR="00C761A9">
      <w:rPr>
        <w:noProof/>
      </w:rPr>
      <w:t>2</w:t>
    </w:r>
    <w:r>
      <w:fldChar w:fldCharType="end"/>
    </w:r>
  </w:p>
  <w:p w:rsidR="003A2F27" w:rsidRDefault="003A2F2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2B"/>
    <w:rsid w:val="000057CB"/>
    <w:rsid w:val="00010F87"/>
    <w:rsid w:val="00015F85"/>
    <w:rsid w:val="00017EB5"/>
    <w:rsid w:val="0003520C"/>
    <w:rsid w:val="00056FC4"/>
    <w:rsid w:val="00080115"/>
    <w:rsid w:val="00083368"/>
    <w:rsid w:val="00086A09"/>
    <w:rsid w:val="00092D97"/>
    <w:rsid w:val="000A6459"/>
    <w:rsid w:val="00122F3B"/>
    <w:rsid w:val="00132357"/>
    <w:rsid w:val="00152700"/>
    <w:rsid w:val="001534E9"/>
    <w:rsid w:val="00154F5A"/>
    <w:rsid w:val="001610CA"/>
    <w:rsid w:val="00182ABB"/>
    <w:rsid w:val="00190651"/>
    <w:rsid w:val="001A5E34"/>
    <w:rsid w:val="001B440A"/>
    <w:rsid w:val="001D65AD"/>
    <w:rsid w:val="001F0372"/>
    <w:rsid w:val="001F1453"/>
    <w:rsid w:val="00216B55"/>
    <w:rsid w:val="00217569"/>
    <w:rsid w:val="0023324C"/>
    <w:rsid w:val="002368E7"/>
    <w:rsid w:val="00263DAD"/>
    <w:rsid w:val="00272C6D"/>
    <w:rsid w:val="002C0BB7"/>
    <w:rsid w:val="002D69D0"/>
    <w:rsid w:val="002E0B8C"/>
    <w:rsid w:val="002E7636"/>
    <w:rsid w:val="0033648B"/>
    <w:rsid w:val="00343205"/>
    <w:rsid w:val="003462D2"/>
    <w:rsid w:val="00374D7E"/>
    <w:rsid w:val="003A2F27"/>
    <w:rsid w:val="003A51AE"/>
    <w:rsid w:val="004127C3"/>
    <w:rsid w:val="00415225"/>
    <w:rsid w:val="00416347"/>
    <w:rsid w:val="004175D8"/>
    <w:rsid w:val="0041789A"/>
    <w:rsid w:val="00436670"/>
    <w:rsid w:val="00446D6A"/>
    <w:rsid w:val="00453A96"/>
    <w:rsid w:val="00463283"/>
    <w:rsid w:val="00471BBB"/>
    <w:rsid w:val="004726F2"/>
    <w:rsid w:val="00472B48"/>
    <w:rsid w:val="00482816"/>
    <w:rsid w:val="004D313D"/>
    <w:rsid w:val="004E1B2A"/>
    <w:rsid w:val="004E4983"/>
    <w:rsid w:val="0050313E"/>
    <w:rsid w:val="0051185A"/>
    <w:rsid w:val="00521124"/>
    <w:rsid w:val="00561B51"/>
    <w:rsid w:val="00587207"/>
    <w:rsid w:val="005C19F8"/>
    <w:rsid w:val="006026E6"/>
    <w:rsid w:val="0061441C"/>
    <w:rsid w:val="0061515F"/>
    <w:rsid w:val="006419D2"/>
    <w:rsid w:val="00655D1D"/>
    <w:rsid w:val="00674267"/>
    <w:rsid w:val="006955A1"/>
    <w:rsid w:val="006B2203"/>
    <w:rsid w:val="006F1B1D"/>
    <w:rsid w:val="00715373"/>
    <w:rsid w:val="0076131A"/>
    <w:rsid w:val="007661A6"/>
    <w:rsid w:val="00771181"/>
    <w:rsid w:val="007714B3"/>
    <w:rsid w:val="00780414"/>
    <w:rsid w:val="00791530"/>
    <w:rsid w:val="007A0453"/>
    <w:rsid w:val="007A6A4D"/>
    <w:rsid w:val="007E1365"/>
    <w:rsid w:val="008020FF"/>
    <w:rsid w:val="00833256"/>
    <w:rsid w:val="0085485C"/>
    <w:rsid w:val="008569E5"/>
    <w:rsid w:val="00882036"/>
    <w:rsid w:val="00895152"/>
    <w:rsid w:val="008A1BE5"/>
    <w:rsid w:val="008A46E9"/>
    <w:rsid w:val="008E5D32"/>
    <w:rsid w:val="008F77B2"/>
    <w:rsid w:val="009027AF"/>
    <w:rsid w:val="00903492"/>
    <w:rsid w:val="00905F3B"/>
    <w:rsid w:val="00912914"/>
    <w:rsid w:val="009164B7"/>
    <w:rsid w:val="0095259F"/>
    <w:rsid w:val="00964818"/>
    <w:rsid w:val="00974F0C"/>
    <w:rsid w:val="009A0C94"/>
    <w:rsid w:val="009B6D43"/>
    <w:rsid w:val="009F3DFD"/>
    <w:rsid w:val="00A02B14"/>
    <w:rsid w:val="00A15470"/>
    <w:rsid w:val="00A16055"/>
    <w:rsid w:val="00A2664A"/>
    <w:rsid w:val="00A42CFD"/>
    <w:rsid w:val="00A72A04"/>
    <w:rsid w:val="00A80C44"/>
    <w:rsid w:val="00A932D9"/>
    <w:rsid w:val="00A944BD"/>
    <w:rsid w:val="00A94C30"/>
    <w:rsid w:val="00A96050"/>
    <w:rsid w:val="00AC75B7"/>
    <w:rsid w:val="00B046CD"/>
    <w:rsid w:val="00B14DCF"/>
    <w:rsid w:val="00B315A2"/>
    <w:rsid w:val="00B65635"/>
    <w:rsid w:val="00B71289"/>
    <w:rsid w:val="00B7220D"/>
    <w:rsid w:val="00B74B87"/>
    <w:rsid w:val="00B76718"/>
    <w:rsid w:val="00B91C03"/>
    <w:rsid w:val="00BC561A"/>
    <w:rsid w:val="00BD4E81"/>
    <w:rsid w:val="00C027AC"/>
    <w:rsid w:val="00C02B31"/>
    <w:rsid w:val="00C14A08"/>
    <w:rsid w:val="00C15F9D"/>
    <w:rsid w:val="00C34C67"/>
    <w:rsid w:val="00C4280C"/>
    <w:rsid w:val="00C761A9"/>
    <w:rsid w:val="00CA15C8"/>
    <w:rsid w:val="00CC1C72"/>
    <w:rsid w:val="00CC289A"/>
    <w:rsid w:val="00CD2FA4"/>
    <w:rsid w:val="00CE1BF2"/>
    <w:rsid w:val="00CF262B"/>
    <w:rsid w:val="00CF475D"/>
    <w:rsid w:val="00D04C64"/>
    <w:rsid w:val="00D63462"/>
    <w:rsid w:val="00D86312"/>
    <w:rsid w:val="00D96476"/>
    <w:rsid w:val="00DA1AB6"/>
    <w:rsid w:val="00DA25DE"/>
    <w:rsid w:val="00DB54AB"/>
    <w:rsid w:val="00DD6AEE"/>
    <w:rsid w:val="00E02FF6"/>
    <w:rsid w:val="00E03DDE"/>
    <w:rsid w:val="00E272D7"/>
    <w:rsid w:val="00E37227"/>
    <w:rsid w:val="00E449ED"/>
    <w:rsid w:val="00E47672"/>
    <w:rsid w:val="00E60357"/>
    <w:rsid w:val="00E64A5B"/>
    <w:rsid w:val="00E81F55"/>
    <w:rsid w:val="00E87C60"/>
    <w:rsid w:val="00EC1425"/>
    <w:rsid w:val="00EC57A3"/>
    <w:rsid w:val="00EE4BC9"/>
    <w:rsid w:val="00F05EE0"/>
    <w:rsid w:val="00F11680"/>
    <w:rsid w:val="00F11D85"/>
    <w:rsid w:val="00F14936"/>
    <w:rsid w:val="00F156FE"/>
    <w:rsid w:val="00F16672"/>
    <w:rsid w:val="00F2044E"/>
    <w:rsid w:val="00F2741A"/>
    <w:rsid w:val="00F73AA5"/>
    <w:rsid w:val="00F93898"/>
    <w:rsid w:val="00F978D4"/>
    <w:rsid w:val="00FA22F0"/>
    <w:rsid w:val="00FB50A3"/>
    <w:rsid w:val="00FC3E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62B"/>
    <w:rPr>
      <w:rFonts w:ascii="Times New Roman" w:eastAsia="Times New Roman" w:hAnsi="Times New Roman"/>
      <w:sz w:val="24"/>
      <w:szCs w:val="24"/>
      <w:lang w:eastAsia="ru-RU"/>
    </w:rPr>
  </w:style>
  <w:style w:type="paragraph" w:styleId="1">
    <w:name w:val="heading 1"/>
    <w:basedOn w:val="a"/>
    <w:next w:val="a"/>
    <w:link w:val="10"/>
    <w:qFormat/>
    <w:rsid w:val="00056FC4"/>
    <w:pPr>
      <w:keepNext/>
      <w:jc w:val="center"/>
      <w:outlineLvl w:val="0"/>
    </w:pPr>
    <w:rPr>
      <w:b/>
      <w:bCs/>
      <w:sz w:val="28"/>
    </w:rPr>
  </w:style>
  <w:style w:type="paragraph" w:styleId="3">
    <w:name w:val="heading 3"/>
    <w:basedOn w:val="a"/>
    <w:next w:val="a"/>
    <w:link w:val="30"/>
    <w:uiPriority w:val="9"/>
    <w:semiHidden/>
    <w:unhideWhenUsed/>
    <w:qFormat/>
    <w:rsid w:val="0051185A"/>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F262B"/>
    <w:pPr>
      <w:ind w:firstLine="709"/>
      <w:jc w:val="both"/>
    </w:pPr>
    <w:rPr>
      <w:sz w:val="28"/>
    </w:rPr>
  </w:style>
  <w:style w:type="character" w:customStyle="1" w:styleId="a4">
    <w:name w:val="Основной текст с отступом Знак"/>
    <w:link w:val="a3"/>
    <w:rsid w:val="00CF262B"/>
    <w:rPr>
      <w:rFonts w:ascii="Times New Roman" w:eastAsia="Times New Roman" w:hAnsi="Times New Roman" w:cs="Times New Roman"/>
      <w:sz w:val="28"/>
      <w:szCs w:val="24"/>
      <w:lang w:val="uk-UA" w:eastAsia="ru-RU"/>
    </w:rPr>
  </w:style>
  <w:style w:type="paragraph" w:styleId="a5">
    <w:name w:val="Normal (Web)"/>
    <w:basedOn w:val="a"/>
    <w:rsid w:val="00CF262B"/>
    <w:pPr>
      <w:spacing w:before="100" w:beforeAutospacing="1" w:after="100" w:afterAutospacing="1"/>
    </w:pPr>
    <w:rPr>
      <w:lang w:val="ru-RU"/>
    </w:rPr>
  </w:style>
  <w:style w:type="character" w:customStyle="1" w:styleId="10">
    <w:name w:val="Заголовок 1 Знак"/>
    <w:link w:val="1"/>
    <w:rsid w:val="00056FC4"/>
    <w:rPr>
      <w:rFonts w:ascii="Times New Roman" w:eastAsia="Times New Roman" w:hAnsi="Times New Roman" w:cs="Times New Roman"/>
      <w:b/>
      <w:bCs/>
      <w:sz w:val="28"/>
      <w:szCs w:val="24"/>
      <w:lang w:val="uk-UA" w:eastAsia="ru-RU"/>
    </w:rPr>
  </w:style>
  <w:style w:type="table" w:styleId="a6">
    <w:name w:val="Table Grid"/>
    <w:basedOn w:val="a1"/>
    <w:uiPriority w:val="59"/>
    <w:rsid w:val="006419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3A2F27"/>
    <w:pPr>
      <w:tabs>
        <w:tab w:val="center" w:pos="4677"/>
        <w:tab w:val="right" w:pos="9355"/>
      </w:tabs>
    </w:pPr>
  </w:style>
  <w:style w:type="character" w:customStyle="1" w:styleId="a8">
    <w:name w:val="Верхний колонтитул Знак"/>
    <w:link w:val="a7"/>
    <w:uiPriority w:val="99"/>
    <w:rsid w:val="003A2F27"/>
    <w:rPr>
      <w:rFonts w:ascii="Times New Roman" w:eastAsia="Times New Roman" w:hAnsi="Times New Roman"/>
      <w:sz w:val="24"/>
      <w:szCs w:val="24"/>
      <w:lang w:val="uk-UA"/>
    </w:rPr>
  </w:style>
  <w:style w:type="paragraph" w:styleId="a9">
    <w:name w:val="footer"/>
    <w:basedOn w:val="a"/>
    <w:link w:val="aa"/>
    <w:uiPriority w:val="99"/>
    <w:semiHidden/>
    <w:unhideWhenUsed/>
    <w:rsid w:val="003A2F27"/>
    <w:pPr>
      <w:tabs>
        <w:tab w:val="center" w:pos="4677"/>
        <w:tab w:val="right" w:pos="9355"/>
      </w:tabs>
    </w:pPr>
  </w:style>
  <w:style w:type="character" w:customStyle="1" w:styleId="aa">
    <w:name w:val="Нижний колонтитул Знак"/>
    <w:link w:val="a9"/>
    <w:uiPriority w:val="99"/>
    <w:semiHidden/>
    <w:rsid w:val="003A2F27"/>
    <w:rPr>
      <w:rFonts w:ascii="Times New Roman" w:eastAsia="Times New Roman" w:hAnsi="Times New Roman"/>
      <w:sz w:val="24"/>
      <w:szCs w:val="24"/>
      <w:lang w:val="uk-UA"/>
    </w:rPr>
  </w:style>
  <w:style w:type="character" w:customStyle="1" w:styleId="30">
    <w:name w:val="Заголовок 3 Знак"/>
    <w:link w:val="3"/>
    <w:uiPriority w:val="9"/>
    <w:semiHidden/>
    <w:rsid w:val="0051185A"/>
    <w:rPr>
      <w:rFonts w:ascii="Calibri Light" w:eastAsia="Times New Roman" w:hAnsi="Calibri Light" w:cs="Times New Roman"/>
      <w:b/>
      <w:bCs/>
      <w:sz w:val="26"/>
      <w:szCs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62B"/>
    <w:rPr>
      <w:rFonts w:ascii="Times New Roman" w:eastAsia="Times New Roman" w:hAnsi="Times New Roman"/>
      <w:sz w:val="24"/>
      <w:szCs w:val="24"/>
      <w:lang w:eastAsia="ru-RU"/>
    </w:rPr>
  </w:style>
  <w:style w:type="paragraph" w:styleId="1">
    <w:name w:val="heading 1"/>
    <w:basedOn w:val="a"/>
    <w:next w:val="a"/>
    <w:link w:val="10"/>
    <w:qFormat/>
    <w:rsid w:val="00056FC4"/>
    <w:pPr>
      <w:keepNext/>
      <w:jc w:val="center"/>
      <w:outlineLvl w:val="0"/>
    </w:pPr>
    <w:rPr>
      <w:b/>
      <w:bCs/>
      <w:sz w:val="28"/>
    </w:rPr>
  </w:style>
  <w:style w:type="paragraph" w:styleId="3">
    <w:name w:val="heading 3"/>
    <w:basedOn w:val="a"/>
    <w:next w:val="a"/>
    <w:link w:val="30"/>
    <w:uiPriority w:val="9"/>
    <w:semiHidden/>
    <w:unhideWhenUsed/>
    <w:qFormat/>
    <w:rsid w:val="0051185A"/>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F262B"/>
    <w:pPr>
      <w:ind w:firstLine="709"/>
      <w:jc w:val="both"/>
    </w:pPr>
    <w:rPr>
      <w:sz w:val="28"/>
    </w:rPr>
  </w:style>
  <w:style w:type="character" w:customStyle="1" w:styleId="a4">
    <w:name w:val="Основной текст с отступом Знак"/>
    <w:link w:val="a3"/>
    <w:rsid w:val="00CF262B"/>
    <w:rPr>
      <w:rFonts w:ascii="Times New Roman" w:eastAsia="Times New Roman" w:hAnsi="Times New Roman" w:cs="Times New Roman"/>
      <w:sz w:val="28"/>
      <w:szCs w:val="24"/>
      <w:lang w:val="uk-UA" w:eastAsia="ru-RU"/>
    </w:rPr>
  </w:style>
  <w:style w:type="paragraph" w:styleId="a5">
    <w:name w:val="Normal (Web)"/>
    <w:basedOn w:val="a"/>
    <w:rsid w:val="00CF262B"/>
    <w:pPr>
      <w:spacing w:before="100" w:beforeAutospacing="1" w:after="100" w:afterAutospacing="1"/>
    </w:pPr>
    <w:rPr>
      <w:lang w:val="ru-RU"/>
    </w:rPr>
  </w:style>
  <w:style w:type="character" w:customStyle="1" w:styleId="10">
    <w:name w:val="Заголовок 1 Знак"/>
    <w:link w:val="1"/>
    <w:rsid w:val="00056FC4"/>
    <w:rPr>
      <w:rFonts w:ascii="Times New Roman" w:eastAsia="Times New Roman" w:hAnsi="Times New Roman" w:cs="Times New Roman"/>
      <w:b/>
      <w:bCs/>
      <w:sz w:val="28"/>
      <w:szCs w:val="24"/>
      <w:lang w:val="uk-UA" w:eastAsia="ru-RU"/>
    </w:rPr>
  </w:style>
  <w:style w:type="table" w:styleId="a6">
    <w:name w:val="Table Grid"/>
    <w:basedOn w:val="a1"/>
    <w:uiPriority w:val="59"/>
    <w:rsid w:val="006419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3A2F27"/>
    <w:pPr>
      <w:tabs>
        <w:tab w:val="center" w:pos="4677"/>
        <w:tab w:val="right" w:pos="9355"/>
      </w:tabs>
    </w:pPr>
  </w:style>
  <w:style w:type="character" w:customStyle="1" w:styleId="a8">
    <w:name w:val="Верхний колонтитул Знак"/>
    <w:link w:val="a7"/>
    <w:uiPriority w:val="99"/>
    <w:rsid w:val="003A2F27"/>
    <w:rPr>
      <w:rFonts w:ascii="Times New Roman" w:eastAsia="Times New Roman" w:hAnsi="Times New Roman"/>
      <w:sz w:val="24"/>
      <w:szCs w:val="24"/>
      <w:lang w:val="uk-UA"/>
    </w:rPr>
  </w:style>
  <w:style w:type="paragraph" w:styleId="a9">
    <w:name w:val="footer"/>
    <w:basedOn w:val="a"/>
    <w:link w:val="aa"/>
    <w:uiPriority w:val="99"/>
    <w:semiHidden/>
    <w:unhideWhenUsed/>
    <w:rsid w:val="003A2F27"/>
    <w:pPr>
      <w:tabs>
        <w:tab w:val="center" w:pos="4677"/>
        <w:tab w:val="right" w:pos="9355"/>
      </w:tabs>
    </w:pPr>
  </w:style>
  <w:style w:type="character" w:customStyle="1" w:styleId="aa">
    <w:name w:val="Нижний колонтитул Знак"/>
    <w:link w:val="a9"/>
    <w:uiPriority w:val="99"/>
    <w:semiHidden/>
    <w:rsid w:val="003A2F27"/>
    <w:rPr>
      <w:rFonts w:ascii="Times New Roman" w:eastAsia="Times New Roman" w:hAnsi="Times New Roman"/>
      <w:sz w:val="24"/>
      <w:szCs w:val="24"/>
      <w:lang w:val="uk-UA"/>
    </w:rPr>
  </w:style>
  <w:style w:type="character" w:customStyle="1" w:styleId="30">
    <w:name w:val="Заголовок 3 Знак"/>
    <w:link w:val="3"/>
    <w:uiPriority w:val="9"/>
    <w:semiHidden/>
    <w:rsid w:val="0051185A"/>
    <w:rPr>
      <w:rFonts w:ascii="Calibri Light" w:eastAsia="Times New Roman" w:hAnsi="Calibri Light" w:cs="Times New Roman"/>
      <w:b/>
      <w:bCs/>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15626</Words>
  <Characters>8908</Characters>
  <Application>Microsoft Office Word</Application>
  <DocSecurity>0</DocSecurity>
  <Lines>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Анатолий Цюпа</cp:lastModifiedBy>
  <cp:revision>2</cp:revision>
  <cp:lastPrinted>2017-02-14T08:07:00Z</cp:lastPrinted>
  <dcterms:created xsi:type="dcterms:W3CDTF">2018-02-12T07:41:00Z</dcterms:created>
  <dcterms:modified xsi:type="dcterms:W3CDTF">2018-02-12T07:41:00Z</dcterms:modified>
</cp:coreProperties>
</file>