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BF" w:rsidRPr="00B761BF" w:rsidRDefault="00B761BF" w:rsidP="00B76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B761BF" w:rsidRPr="00B761BF" w:rsidRDefault="00B761BF" w:rsidP="00B76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XSpec="center" w:tblpY="-453"/>
        <w:tblW w:w="10658" w:type="dxa"/>
        <w:tblLook w:val="01E0" w:firstRow="1" w:lastRow="1" w:firstColumn="1" w:lastColumn="1" w:noHBand="0" w:noVBand="0"/>
      </w:tblPr>
      <w:tblGrid>
        <w:gridCol w:w="6923"/>
        <w:gridCol w:w="3735"/>
      </w:tblGrid>
      <w:tr w:rsidR="00B761BF" w:rsidRPr="00D772DA" w:rsidTr="00BC5850">
        <w:trPr>
          <w:trHeight w:val="1120"/>
        </w:trPr>
        <w:tc>
          <w:tcPr>
            <w:tcW w:w="6923" w:type="dxa"/>
          </w:tcPr>
          <w:p w:rsidR="00B761BF" w:rsidRPr="00B761BF" w:rsidRDefault="00B761BF" w:rsidP="00B761BF">
            <w:pPr>
              <w:spacing w:after="0" w:line="218" w:lineRule="auto"/>
              <w:ind w:right="16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761BF" w:rsidRPr="00B761BF" w:rsidRDefault="00B761BF" w:rsidP="00B761B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761BF" w:rsidRPr="00B761BF" w:rsidRDefault="00B761BF" w:rsidP="00B761BF">
            <w:pPr>
              <w:spacing w:after="0" w:line="21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35" w:type="dxa"/>
          </w:tcPr>
          <w:p w:rsidR="00B761BF" w:rsidRPr="00B761BF" w:rsidRDefault="00B761BF" w:rsidP="00B761BF">
            <w:pPr>
              <w:spacing w:after="0" w:line="21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</w:t>
            </w:r>
          </w:p>
          <w:p w:rsidR="00B761BF" w:rsidRPr="00B761BF" w:rsidRDefault="00B761BF" w:rsidP="00B761BF">
            <w:pPr>
              <w:spacing w:after="0" w:line="21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рішення обласної ради</w:t>
            </w:r>
          </w:p>
          <w:p w:rsidR="00B761BF" w:rsidRPr="00B761BF" w:rsidRDefault="00B761BF" w:rsidP="00B761BF">
            <w:pPr>
              <w:spacing w:after="0" w:line="21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                      № </w:t>
            </w:r>
          </w:p>
          <w:p w:rsidR="00B761BF" w:rsidRPr="00B761BF" w:rsidRDefault="00B761BF" w:rsidP="00B761BF">
            <w:pPr>
              <w:spacing w:after="0" w:line="21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761BF" w:rsidRPr="00B761BF" w:rsidRDefault="00B761BF" w:rsidP="00B761BF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761BF" w:rsidRPr="00B761BF" w:rsidRDefault="00B761BF" w:rsidP="00B761BF">
            <w:pPr>
              <w:spacing w:after="0" w:line="21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B761BF" w:rsidRPr="00B761BF" w:rsidRDefault="00B761BF" w:rsidP="00B761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ПРОГРАМА</w:t>
      </w:r>
    </w:p>
    <w:p w:rsidR="00B761BF" w:rsidRPr="00B761BF" w:rsidRDefault="00B761BF" w:rsidP="00B761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ІНВЕНТАРИЗАЦІЇ ЗЕМЕЛЬ </w:t>
      </w:r>
    </w:p>
    <w:p w:rsidR="00B761BF" w:rsidRPr="00B761BF" w:rsidRDefault="00B761BF" w:rsidP="00B761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ЖИТОМИРСЬКОЇ ОБЛАСТІ </w:t>
      </w:r>
    </w:p>
    <w:p w:rsidR="00B761BF" w:rsidRPr="00B761BF" w:rsidRDefault="00B761BF" w:rsidP="00B761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</w:t>
      </w:r>
      <w:r w:rsidR="00CB5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</w:t>
      </w: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85964" w:rsidRDefault="00485964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85964" w:rsidRDefault="00485964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85964" w:rsidRDefault="00485964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761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2</w:t>
      </w:r>
    </w:p>
    <w:p w:rsid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85964" w:rsidRPr="00B761BF" w:rsidRDefault="00485964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 Загальна характеристика</w:t>
      </w:r>
    </w:p>
    <w:p w:rsidR="00B761BF" w:rsidRPr="00B761BF" w:rsidRDefault="00B761BF" w:rsidP="00B761BF">
      <w:pPr>
        <w:tabs>
          <w:tab w:val="left" w:pos="8505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Програми проведення інвентаризації земель на території Житомирської області на 202</w:t>
      </w:r>
      <w:r w:rsidR="00CB5C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B761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B761BF" w:rsidRPr="00B761BF" w:rsidRDefault="00B761BF" w:rsidP="00B761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(далі – Програма)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261"/>
        <w:gridCol w:w="5811"/>
      </w:tblGrid>
      <w:tr w:rsidR="00B761BF" w:rsidRPr="00D772DA" w:rsidTr="00BC5850">
        <w:trPr>
          <w:trHeight w:val="668"/>
        </w:trPr>
        <w:tc>
          <w:tcPr>
            <w:tcW w:w="675" w:type="dxa"/>
            <w:tcBorders>
              <w:bottom w:val="single" w:sz="4" w:space="0" w:color="auto"/>
            </w:tcBorders>
          </w:tcPr>
          <w:p w:rsidR="00B761BF" w:rsidRPr="00B761BF" w:rsidRDefault="00B761BF" w:rsidP="00B7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Управління екології та природних ресурсів Житомирської облдержадміністрації </w:t>
            </w:r>
          </w:p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761BF" w:rsidRPr="00B761BF" w:rsidTr="00BC5850">
        <w:trPr>
          <w:trHeight w:val="1384"/>
        </w:trPr>
        <w:tc>
          <w:tcPr>
            <w:tcW w:w="675" w:type="dxa"/>
            <w:tcBorders>
              <w:top w:val="single" w:sz="4" w:space="0" w:color="auto"/>
            </w:tcBorders>
          </w:tcPr>
          <w:p w:rsidR="00B761BF" w:rsidRPr="00B761BF" w:rsidRDefault="00B761BF" w:rsidP="00B7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Дата, номер і </w:t>
            </w:r>
            <w:proofErr w:type="spellStart"/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розпорядчого</w:t>
            </w:r>
            <w:proofErr w:type="spellEnd"/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документа органу </w:t>
            </w:r>
            <w:proofErr w:type="spellStart"/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виконавчої</w:t>
            </w:r>
            <w:proofErr w:type="spellEnd"/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влади</w:t>
            </w:r>
            <w:proofErr w:type="spellEnd"/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розроблення</w:t>
            </w:r>
            <w:proofErr w:type="spellEnd"/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B761BF" w:rsidRPr="00B761BF" w:rsidRDefault="00AE787E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Розпорядження голови </w:t>
            </w:r>
            <w:r w:rsidR="00B761BF"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Житомирської</w:t>
            </w:r>
          </w:p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обласної державної адміністрації </w:t>
            </w:r>
          </w:p>
          <w:p w:rsidR="00B761BF" w:rsidRPr="00B761BF" w:rsidRDefault="00B761BF" w:rsidP="00A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AE78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03</w:t>
            </w: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AE78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03</w:t>
            </w: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.2020 №</w:t>
            </w:r>
            <w:r w:rsidR="00AE78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171</w:t>
            </w:r>
          </w:p>
        </w:tc>
      </w:tr>
      <w:tr w:rsidR="00B761BF" w:rsidRPr="00D772DA" w:rsidTr="00BC5850">
        <w:tc>
          <w:tcPr>
            <w:tcW w:w="675" w:type="dxa"/>
          </w:tcPr>
          <w:p w:rsidR="00B761BF" w:rsidRPr="00B761BF" w:rsidRDefault="00B761BF" w:rsidP="00B7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61" w:type="dxa"/>
          </w:tcPr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811" w:type="dxa"/>
          </w:tcPr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Управління екології та природних ресурсів Житомирської облдержадміністрації </w:t>
            </w:r>
          </w:p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761BF" w:rsidRPr="00D772DA" w:rsidTr="00BC5850">
        <w:tc>
          <w:tcPr>
            <w:tcW w:w="675" w:type="dxa"/>
            <w:vAlign w:val="center"/>
          </w:tcPr>
          <w:p w:rsidR="00B761BF" w:rsidRPr="00B761BF" w:rsidRDefault="00B761BF" w:rsidP="00B7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811" w:type="dxa"/>
          </w:tcPr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Управління екології та природних ресурсів Житомирської облдержадміністрації </w:t>
            </w:r>
          </w:p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761BF" w:rsidRPr="00D772DA" w:rsidTr="00BC5850">
        <w:tc>
          <w:tcPr>
            <w:tcW w:w="675" w:type="dxa"/>
            <w:vAlign w:val="center"/>
          </w:tcPr>
          <w:p w:rsidR="00B761BF" w:rsidRPr="00B761BF" w:rsidRDefault="00B761BF" w:rsidP="00B7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261" w:type="dxa"/>
            <w:vAlign w:val="center"/>
          </w:tcPr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Учасники Програми</w:t>
            </w:r>
          </w:p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(співвиконавці)</w:t>
            </w:r>
          </w:p>
        </w:tc>
        <w:tc>
          <w:tcPr>
            <w:tcW w:w="5811" w:type="dxa"/>
            <w:vAlign w:val="center"/>
          </w:tcPr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Районні державні адміністрації,</w:t>
            </w:r>
          </w:p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органи місцевого самоврядування,</w:t>
            </w:r>
          </w:p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розробники документації із землеустрою, Головне управління Держгеокадастру у Житомирській області</w:t>
            </w:r>
          </w:p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761BF" w:rsidRPr="00B761BF" w:rsidTr="00BC5850">
        <w:tc>
          <w:tcPr>
            <w:tcW w:w="675" w:type="dxa"/>
          </w:tcPr>
          <w:p w:rsidR="00B761BF" w:rsidRPr="00B761BF" w:rsidRDefault="00B761BF" w:rsidP="00B7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261" w:type="dxa"/>
          </w:tcPr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811" w:type="dxa"/>
          </w:tcPr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CB5C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761BF" w:rsidRPr="00B761BF" w:rsidTr="00BC5850">
        <w:tc>
          <w:tcPr>
            <w:tcW w:w="675" w:type="dxa"/>
          </w:tcPr>
          <w:p w:rsidR="00B761BF" w:rsidRPr="00B761BF" w:rsidRDefault="00B761BF" w:rsidP="00B7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261" w:type="dxa"/>
          </w:tcPr>
          <w:p w:rsidR="00B761BF" w:rsidRPr="00B761BF" w:rsidRDefault="00B761BF" w:rsidP="00B761BF">
            <w:pPr>
              <w:overflowPunct w:val="0"/>
              <w:autoSpaceDE w:val="0"/>
              <w:autoSpaceDN w:val="0"/>
              <w:adjustRightInd w:val="0"/>
              <w:spacing w:after="0" w:line="28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Перелік місцевих бюджетів, які беруть участь у виконанні Програми  </w:t>
            </w:r>
          </w:p>
        </w:tc>
        <w:tc>
          <w:tcPr>
            <w:tcW w:w="5811" w:type="dxa"/>
          </w:tcPr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Обласний бюджет </w:t>
            </w:r>
          </w:p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761BF" w:rsidRPr="00D772DA" w:rsidTr="00201BEE">
        <w:trPr>
          <w:trHeight w:val="1396"/>
        </w:trPr>
        <w:tc>
          <w:tcPr>
            <w:tcW w:w="675" w:type="dxa"/>
          </w:tcPr>
          <w:p w:rsidR="00B761BF" w:rsidRPr="00B761BF" w:rsidRDefault="00B761BF" w:rsidP="00B7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261" w:type="dxa"/>
          </w:tcPr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6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Загальний обсяг фінансових ресурсів необхідних для реалізації Програми</w:t>
            </w:r>
          </w:p>
          <w:p w:rsidR="00B761BF" w:rsidRPr="00B761BF" w:rsidRDefault="00B761BF" w:rsidP="00B7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811" w:type="dxa"/>
          </w:tcPr>
          <w:p w:rsidR="00B761BF" w:rsidRPr="00807AD6" w:rsidRDefault="00BB16DB" w:rsidP="00807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2 300 000 грн 00 коп. (два мільйони триста тисяч гривень 00 копійок),</w:t>
            </w:r>
            <w:r w:rsidR="00807A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відповідно до договору на надання послуг</w:t>
            </w:r>
            <w:r w:rsidR="00807A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</w:t>
            </w:r>
            <w:r w:rsidR="00807AD6" w:rsidRPr="00807A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02.11.2020  №17/11-13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укладеного </w:t>
            </w:r>
            <w:r w:rsidR="00807A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результатами проведених відкритих торгів (ідентифікатор закупівлі </w:t>
            </w:r>
            <w:r w:rsidR="00807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UA</w:t>
            </w:r>
            <w:r w:rsidR="00807A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-2020-09-16-010577-а)</w:t>
            </w:r>
          </w:p>
        </w:tc>
      </w:tr>
    </w:tbl>
    <w:p w:rsidR="00B761BF" w:rsidRPr="00B761BF" w:rsidRDefault="00B761BF" w:rsidP="00B761B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E397C" w:rsidRDefault="00FE397C" w:rsidP="00B761B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E397C" w:rsidRPr="00B761BF" w:rsidRDefault="00FE397C" w:rsidP="00FE397C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</w:t>
      </w:r>
    </w:p>
    <w:p w:rsidR="00FE397C" w:rsidRDefault="00FE397C" w:rsidP="00B761B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761BF" w:rsidRDefault="00B761BF" w:rsidP="00B761B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Визначення проблеми, на розв’язання якої спрямована Програма</w:t>
      </w:r>
    </w:p>
    <w:p w:rsidR="00485964" w:rsidRPr="00B761BF" w:rsidRDefault="00485964" w:rsidP="00B761B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E397C" w:rsidRDefault="00B761BF" w:rsidP="00FE397C">
      <w:pPr>
        <w:spacing w:after="0" w:line="240" w:lineRule="auto"/>
        <w:ind w:right="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Територія Житомирської області займає площу   2 982 700  га.</w:t>
      </w: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Відповідно до інформації Головного управління Держгеокадастру у Житомирській  області,  загальна   площа   земель   державної  власності, інформація про які відсутня в Державному земельному кадастрі становить 220 956,2862 га,  в тому числі землі, розпорядником  яких відповідно до  статті 122 Земельного кодексу України є обласна державна адміністрація:</w:t>
      </w: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</w:t>
      </w: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</w:p>
    <w:p w:rsidR="00B761BF" w:rsidRPr="00B761BF" w:rsidRDefault="00FE397C" w:rsidP="00FE397C">
      <w:pPr>
        <w:spacing w:after="0" w:line="240" w:lineRule="auto"/>
        <w:ind w:right="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B761BF"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землі промисловості 1 572,26 га;</w:t>
      </w:r>
    </w:p>
    <w:p w:rsidR="00B761BF" w:rsidRPr="00B761BF" w:rsidRDefault="00B761BF" w:rsidP="00B761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землі водного фонду 43 388,2117 га;</w:t>
      </w:r>
    </w:p>
    <w:p w:rsidR="00B761BF" w:rsidRPr="00B761BF" w:rsidRDefault="00B761BF" w:rsidP="00B761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землі лісового фонду 135 902,7987 га;</w:t>
      </w:r>
    </w:p>
    <w:p w:rsidR="00B761BF" w:rsidRPr="00B761BF" w:rsidRDefault="00B761BF" w:rsidP="00B761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землі історико-культурного призначення  36,07 га;</w:t>
      </w:r>
    </w:p>
    <w:p w:rsidR="00B761BF" w:rsidRPr="00B761BF" w:rsidRDefault="00B761BF" w:rsidP="00B761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землі рекреаційного призначення 17,1700 га;</w:t>
      </w:r>
    </w:p>
    <w:p w:rsidR="00B761BF" w:rsidRPr="00B761BF" w:rsidRDefault="00B761BF" w:rsidP="00B761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землі природно-заповідного   фонду та  іншого  природоохоронного призначення 36 419,96 га.</w:t>
      </w:r>
    </w:p>
    <w:p w:rsidR="00B761BF" w:rsidRPr="00B761BF" w:rsidRDefault="00B761BF" w:rsidP="00B761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Відсутність інформації в Державному земельному кадастрі про земельні ділянки державної власності призводить до зниження ефективності  використання земельно-ресурсного потенціалу регіону, погіршення інвестиційного клімату та зменшення надходжень до місцевих бюджетів від плати за землю, перешкоджає реалізації державної політики в сфері земельних відносин, спрямованої на збалансоване забезпечення потреб населення і галузей економіки у земельних ресурсах.</w:t>
      </w:r>
    </w:p>
    <w:p w:rsidR="00B761BF" w:rsidRPr="00B761BF" w:rsidRDefault="00B761BF" w:rsidP="00B761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61BF" w:rsidRDefault="00B761BF" w:rsidP="00B761BF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Мета Програми</w:t>
      </w:r>
    </w:p>
    <w:p w:rsidR="00485964" w:rsidRPr="00B761BF" w:rsidRDefault="00485964" w:rsidP="00B761BF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Метою Програми </w:t>
      </w: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інвентаризації земель на території Житомирської області</w:t>
      </w: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 встановлення місця розташування</w:t>
      </w: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земельних ділянок</w:t>
      </w: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їх меж, розмірів, правового статусу, кількісних та якісних характеристик земель, необхідних для ведення державного земельного кадастру, здійснення державного контролю за використанням та охороною земель, </w:t>
      </w: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 ґрунтів від виснаження, деградації, забруднення, відтворення та збереження їхньої родючості, створення екологічно безпечних умов проживання населення і ведення господарської діяльності, збереження ландшафтного і біологічного різноманіття, підвищення продуктивності земель лісового фонду та</w:t>
      </w: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прийняття на її основі відповідних рішень органами виконавчої влади, </w:t>
      </w: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сприяння в реалізації державної політики в сфері земельних відносин, спрямованої на збалансоване забезпечення потреб населення і галузей економіки у земельних ресурсах, а також визначення оптимальних обсягів робіт, необхідних для розв’язання цих проблем.</w:t>
      </w:r>
    </w:p>
    <w:p w:rsidR="00485964" w:rsidRDefault="00485964" w:rsidP="00FE39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E397C" w:rsidRPr="00B761BF" w:rsidRDefault="00FE397C" w:rsidP="00FE39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4</w:t>
      </w:r>
    </w:p>
    <w:p w:rsidR="00485964" w:rsidRDefault="00485964" w:rsidP="00B761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761BF" w:rsidRDefault="00B761BF" w:rsidP="00B761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76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4. Шляхи і засоби розв'язання проблеми, обсяг та джерела       фінансування; строки та етапи виконання Програми</w:t>
      </w:r>
    </w:p>
    <w:p w:rsidR="00485964" w:rsidRPr="00B761BF" w:rsidRDefault="00485964" w:rsidP="00B761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761BF" w:rsidRPr="00B761BF" w:rsidRDefault="00B761BF" w:rsidP="00B7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Відповідно до Постанови Кабінету Міністрів України </w:t>
      </w:r>
      <w:r w:rsidRPr="00B76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05.06.2019     </w:t>
      </w:r>
      <w:r w:rsidR="004859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Pr="00B76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№ 476 </w:t>
      </w:r>
      <w:r w:rsidRPr="00B76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B761B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"Про затвердження Порядку проведення інвентаризації земель та визнання такими, що втратили чинність, деяких постанов Кабінету Міністрів України",   і</w:t>
      </w: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нвентаризація    земель   та   складання  за  її результатами технічної документації із землеустрою, проводиться з урахуванням принципів плановості, достовірності   та   повноти даних,   послідовності   і   стандартності   процедур, доступності використання інформаційної бази, узагальнення даних з додержанням єдиних засад та технології їх оброблення.</w:t>
      </w:r>
    </w:p>
    <w:p w:rsidR="00B761BF" w:rsidRPr="00B761BF" w:rsidRDefault="00B761BF" w:rsidP="00B761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Інвентаризація земель проводиться в межах адміністративно-територіальних одиниць, територій, межі яких визначені проектами формування територій і встановлення меж сільських, селищних рад, масивів земель сільськогосподарського призначення, окремих земельних ділянок.</w:t>
      </w:r>
    </w:p>
    <w:p w:rsidR="00B761BF" w:rsidRPr="00B761BF" w:rsidRDefault="00B761BF" w:rsidP="00B761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Вихідними даними для проведення інвентаризації земель є:</w:t>
      </w:r>
    </w:p>
    <w:p w:rsidR="00B761BF" w:rsidRPr="00B761BF" w:rsidRDefault="00B761BF" w:rsidP="00B761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матеріали з Державного фонду документації із землеустрою;</w:t>
      </w:r>
    </w:p>
    <w:p w:rsidR="00B761BF" w:rsidRPr="00B761BF" w:rsidRDefault="00B761BF" w:rsidP="00B761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відомості з Державного земельного кадастру в паперовій та електронній (цифровій) формі, у тому числі Поземельної книги; книги записів реєстрації державних актів на право власності на землю та на право постійного користування землею, договорів оренди землі; електронних документів, що містять відомості про результати робіт із землеустрою;</w:t>
      </w:r>
    </w:p>
    <w:p w:rsidR="00B761BF" w:rsidRPr="00B761BF" w:rsidRDefault="00B761BF" w:rsidP="00B761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містобудівна документація, затверджена в установленому законодавством порядку;</w:t>
      </w:r>
    </w:p>
    <w:p w:rsidR="00B761BF" w:rsidRPr="00B761BF" w:rsidRDefault="00B761BF" w:rsidP="00B761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планово-картографічні матеріали;   </w:t>
      </w:r>
    </w:p>
    <w:p w:rsidR="00B761BF" w:rsidRPr="00B761BF" w:rsidRDefault="00B761BF" w:rsidP="00B761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відомості з Державного реєстру речових прав на нерухоме майно;</w:t>
      </w:r>
    </w:p>
    <w:p w:rsidR="00B761BF" w:rsidRPr="00B761BF" w:rsidRDefault="00B761BF" w:rsidP="00B761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копії документів, які посвідчують речові права на земельну ділянку або підтверджують сплату земельного податку.</w:t>
      </w:r>
    </w:p>
    <w:p w:rsidR="00B761BF" w:rsidRPr="00B761BF" w:rsidRDefault="00B761BF" w:rsidP="00B761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 час проведення інвентаризації земель можуть використовуватися матеріали дистанційного зондування землі, лісовпорядкування, проекти створення територій та об’єктів природно-заповідного фонду, програми у сфері формування, збереження та використання </w:t>
      </w:r>
      <w:proofErr w:type="spellStart"/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екомережі</w:t>
      </w:r>
      <w:proofErr w:type="spellEnd"/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761BF" w:rsidRPr="00B761BF" w:rsidRDefault="00B761BF" w:rsidP="00B761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Підставою для проведення інвентаризації земель є рішення відповідного органу виконавчої влади щодо виконання відповідних робіт, договори, укладені між юридичними чи фізичними особами (землевласниками і землекористувачами) та розробниками технічної документації (далі - виконавці)</w:t>
      </w:r>
    </w:p>
    <w:p w:rsidR="00B761BF" w:rsidRPr="00B761BF" w:rsidRDefault="00B761BF" w:rsidP="005C62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Фінансування заходів Програми здійснюватиметься за рахунок </w:t>
      </w:r>
      <w:r w:rsidR="00141E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залишкових </w:t>
      </w: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коштів</w:t>
      </w:r>
      <w:r w:rsidR="005C626C" w:rsidRPr="005C626C">
        <w:rPr>
          <w:lang w:val="uk-UA"/>
        </w:rPr>
        <w:t xml:space="preserve"> </w:t>
      </w:r>
      <w:r w:rsidR="005C626C" w:rsidRPr="005C62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обласного бюджету</w:t>
      </w: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що надходять у порядку відшкодування втрат сільськогосподарського і </w:t>
      </w:r>
      <w:r w:rsidR="00BB6F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C62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</w:t>
      </w: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ісогосподарського виробництва у відповідності до вимог ст. 209 Земельного кодексу України.</w:t>
      </w:r>
      <w:r w:rsidR="005C62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5C626C" w:rsidRDefault="005C626C" w:rsidP="005C626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5</w:t>
      </w:r>
    </w:p>
    <w:p w:rsidR="005C626C" w:rsidRDefault="005C626C" w:rsidP="005C626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07AD6" w:rsidRDefault="00B761BF" w:rsidP="00B761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Фінансове забезпечення здійснюється </w:t>
      </w:r>
      <w:r w:rsidR="00807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</w:t>
      </w: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07AD6" w:rsidRPr="00807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2 300 000 грн 00 коп. (два мільйони триста тисяч гривень 00 копійок), відповідно до договору на надання послуг від 02.11.2020  №17/11-13, укладеного за результатами проведених відкритих торгів (ідентифікатор закупівлі UA-2020-09-16-010577-а)</w:t>
      </w:r>
      <w:r w:rsidR="00807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761BF" w:rsidRPr="00B761BF" w:rsidRDefault="00B761BF" w:rsidP="00B761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Термін дії програми: 202</w:t>
      </w:r>
      <w:r w:rsidR="00831E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рік.</w:t>
      </w:r>
    </w:p>
    <w:p w:rsidR="00485964" w:rsidRPr="00B761BF" w:rsidRDefault="00B761BF" w:rsidP="00485964">
      <w:pPr>
        <w:tabs>
          <w:tab w:val="left" w:pos="453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</w:t>
      </w:r>
    </w:p>
    <w:p w:rsidR="00B761BF" w:rsidRDefault="00B761BF" w:rsidP="00B761B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  Перелік завдань (напрямів), заходів Програми та результативні показники.</w:t>
      </w:r>
    </w:p>
    <w:p w:rsidR="00485964" w:rsidRPr="00B761BF" w:rsidRDefault="00485964" w:rsidP="00B761B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61BF" w:rsidRPr="00B761BF" w:rsidRDefault="00B761BF" w:rsidP="00B7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Підставою для проведення інвентаризації земель державної власності є рішення органу виконавчої влади, уповноваженого здійснювати розпорядження земельною ділянкою.</w:t>
      </w:r>
    </w:p>
    <w:p w:rsidR="00B761BF" w:rsidRPr="00B761BF" w:rsidRDefault="00B761BF" w:rsidP="00B7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Замовником технічної документації із землеустрою щодо інвентаризації земель являються органи виконавчої влади в особі управління екології та природних ресурсів обласної державної адміністрації.</w:t>
      </w:r>
    </w:p>
    <w:p w:rsidR="00B761BF" w:rsidRPr="00B761BF" w:rsidRDefault="00B761BF" w:rsidP="00B7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Виконавцями робіт із землеустрою є: юридичні особи, що володіють необхідним технічним і технологічним забезпеченням та у складі яких працює за основним місцем роботи не менше двох сертифікованих інженерів-землевпорядників, які є відповідальними за якість робіт із землеустрою;</w:t>
      </w:r>
    </w:p>
    <w:p w:rsidR="00B761BF" w:rsidRPr="00B761BF" w:rsidRDefault="00B761BF" w:rsidP="00B761BF">
      <w:pPr>
        <w:keepNext/>
        <w:spacing w:after="0" w:line="240" w:lineRule="auto"/>
        <w:ind w:firstLine="851"/>
        <w:jc w:val="both"/>
        <w:outlineLvl w:val="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фізичні особи - підприємці, які володіють необхідним технічним і технологічним забезпеченням та є сертифікованими інженерами-землевпорядниками, відповідальними за якість робіт із землеустрою.</w:t>
      </w:r>
    </w:p>
    <w:p w:rsidR="00B761BF" w:rsidRPr="00B761BF" w:rsidRDefault="00B761BF" w:rsidP="00B761BF">
      <w:pPr>
        <w:keepNext/>
        <w:spacing w:after="0" w:line="240" w:lineRule="auto"/>
        <w:ind w:firstLine="851"/>
        <w:jc w:val="both"/>
        <w:outlineLvl w:val="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Роботи з інвентаризації земель включають </w:t>
      </w:r>
      <w:proofErr w:type="spellStart"/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обстежувальні</w:t>
      </w:r>
      <w:proofErr w:type="spellEnd"/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топографо-геодезичні та проектно-вишукувальні роботи, складення і оформлення технічної документації в паперовій та електронній (цифровій) формі.</w:t>
      </w:r>
    </w:p>
    <w:p w:rsidR="00B761BF" w:rsidRPr="00B761BF" w:rsidRDefault="00B761BF" w:rsidP="00B761BF">
      <w:pPr>
        <w:keepNext/>
        <w:spacing w:after="0" w:line="240" w:lineRule="auto"/>
        <w:ind w:firstLine="851"/>
        <w:jc w:val="both"/>
        <w:outlineLvl w:val="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Топографо-геодезичні роботи виконуються в єдиній державній системі координат з метою визначення або уточнення меж земельних ділянок, обмежень у їх використанні, обтяжень прав на земельні ділянки та угідь, які потребують уточнення або за якими неможливо визначити такі межі під час виконання </w:t>
      </w:r>
      <w:proofErr w:type="spellStart"/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обстежувальних</w:t>
      </w:r>
      <w:proofErr w:type="spellEnd"/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робіт.</w:t>
      </w:r>
    </w:p>
    <w:p w:rsidR="00B761BF" w:rsidRPr="00B761BF" w:rsidRDefault="00B761BF" w:rsidP="00B761BF">
      <w:pPr>
        <w:keepNext/>
        <w:spacing w:after="0" w:line="240" w:lineRule="auto"/>
        <w:ind w:firstLine="851"/>
        <w:jc w:val="both"/>
        <w:outlineLvl w:val="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результатами проведення інвентаризації земель виконавцями розробляється технічна документація відповідно до статті 57 Закону України “Про землеустрій”.</w:t>
      </w:r>
    </w:p>
    <w:p w:rsidR="00B761BF" w:rsidRPr="00B761BF" w:rsidRDefault="00B761BF" w:rsidP="00B761BF">
      <w:pPr>
        <w:keepNext/>
        <w:spacing w:after="0" w:line="240" w:lineRule="auto"/>
        <w:ind w:firstLine="851"/>
        <w:jc w:val="both"/>
        <w:outlineLvl w:val="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Технічна документація погоджується та затверджується в порядку, встановленому статтею 186 Земельного кодексу України.</w:t>
      </w:r>
    </w:p>
    <w:p w:rsidR="00B761BF" w:rsidRPr="00B761BF" w:rsidRDefault="00B761BF" w:rsidP="00B761BF">
      <w:pPr>
        <w:keepNext/>
        <w:spacing w:after="0" w:line="240" w:lineRule="auto"/>
        <w:ind w:firstLine="851"/>
        <w:jc w:val="both"/>
        <w:outlineLvl w:val="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Відомості, отримані за результатами інвентаризації земель, вносяться до Державного земельного кадастру відповідно до Порядку ведення Державного земельного кадастру, затвердженого постановою Кабінету Міністрів України від 17 жовтня 2012 р. № 1051. </w:t>
      </w:r>
    </w:p>
    <w:p w:rsidR="00B761BF" w:rsidRPr="00816664" w:rsidRDefault="00B761BF">
      <w:pPr>
        <w:rPr>
          <w:rFonts w:ascii="Times New Roman" w:hAnsi="Times New Roman" w:cs="Times New Roman"/>
          <w:sz w:val="28"/>
          <w:szCs w:val="28"/>
          <w:lang w:val="uk-UA"/>
        </w:rPr>
        <w:sectPr w:rsidR="00B761BF" w:rsidRPr="00816664" w:rsidSect="001567AC">
          <w:type w:val="evenPage"/>
          <w:pgSz w:w="12240" w:h="15840"/>
          <w:pgMar w:top="993" w:right="850" w:bottom="1134" w:left="1701" w:header="708" w:footer="708" w:gutter="0"/>
          <w:cols w:space="708"/>
          <w:docGrid w:linePitch="360"/>
        </w:sectPr>
      </w:pPr>
    </w:p>
    <w:p w:rsidR="00B761BF" w:rsidRPr="00816664" w:rsidRDefault="00B761BF" w:rsidP="00B761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6664">
        <w:rPr>
          <w:rFonts w:ascii="Times New Roman" w:hAnsi="Times New Roman" w:cs="Times New Roman"/>
          <w:sz w:val="28"/>
          <w:szCs w:val="28"/>
          <w:lang w:val="uk-UA"/>
        </w:rPr>
        <w:lastRenderedPageBreak/>
        <w:t>6</w:t>
      </w:r>
    </w:p>
    <w:p w:rsidR="00201BEE" w:rsidRDefault="00201BEE" w:rsidP="0020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01BEE" w:rsidRDefault="00201BEE" w:rsidP="0020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01BEE" w:rsidRPr="00201BEE" w:rsidRDefault="00201BEE" w:rsidP="0020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01B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Ресурсне забезпечення обласної Програми проведення інвентаризації земель </w:t>
      </w:r>
    </w:p>
    <w:p w:rsidR="00201BEE" w:rsidRPr="00201BEE" w:rsidRDefault="00201BEE" w:rsidP="0020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01B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території Житомирської області на 202</w:t>
      </w:r>
      <w:r w:rsidR="00831E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201B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</w:t>
      </w:r>
    </w:p>
    <w:p w:rsidR="00201BEE" w:rsidRPr="00201BEE" w:rsidRDefault="00201BEE" w:rsidP="0020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2152"/>
        <w:gridCol w:w="1282"/>
        <w:gridCol w:w="1721"/>
        <w:gridCol w:w="1734"/>
        <w:gridCol w:w="1809"/>
        <w:gridCol w:w="2126"/>
      </w:tblGrid>
      <w:tr w:rsidR="00201BEE" w:rsidRPr="00D772DA" w:rsidTr="00BC5850">
        <w:trPr>
          <w:trHeight w:val="430"/>
        </w:trPr>
        <w:tc>
          <w:tcPr>
            <w:tcW w:w="1105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1854" w:type="pct"/>
            <w:gridSpan w:val="3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 етап виконання програми</w:t>
            </w:r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ІІ етап (20__ - 20__ роки)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ІІІ етап (20-_ - 20__ роки)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Всього витрат на виконання програми</w:t>
            </w:r>
          </w:p>
        </w:tc>
      </w:tr>
      <w:tr w:rsidR="00201BEE" w:rsidRPr="00201BEE" w:rsidTr="00BC5850">
        <w:trPr>
          <w:trHeight w:val="297"/>
        </w:trPr>
        <w:tc>
          <w:tcPr>
            <w:tcW w:w="1105" w:type="pct"/>
            <w:vMerge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201BEE" w:rsidRPr="00201BEE" w:rsidRDefault="00201BEE" w:rsidP="008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831E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Pr="00201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рік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20__ рік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20__ рік</w:t>
            </w: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51" w:type="pct"/>
            <w:vMerge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1BEE" w:rsidRPr="00201BEE" w:rsidTr="00BC5850">
        <w:tc>
          <w:tcPr>
            <w:tcW w:w="110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7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61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619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62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651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76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</w:tr>
      <w:tr w:rsidR="00201BEE" w:rsidRPr="00D772DA" w:rsidTr="00BC5850">
        <w:tc>
          <w:tcPr>
            <w:tcW w:w="110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ресурсів всього, в тому числі:</w:t>
            </w:r>
          </w:p>
        </w:tc>
        <w:tc>
          <w:tcPr>
            <w:tcW w:w="77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61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9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51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1BEE" w:rsidRPr="00201BEE" w:rsidTr="00BC5850">
        <w:tc>
          <w:tcPr>
            <w:tcW w:w="110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державний бюджет</w:t>
            </w:r>
          </w:p>
        </w:tc>
        <w:tc>
          <w:tcPr>
            <w:tcW w:w="77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6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1BEE" w:rsidRPr="00201BEE" w:rsidTr="00BC5850">
        <w:tc>
          <w:tcPr>
            <w:tcW w:w="110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обласний бюджет</w:t>
            </w:r>
          </w:p>
        </w:tc>
        <w:tc>
          <w:tcPr>
            <w:tcW w:w="774" w:type="pct"/>
            <w:shd w:val="clear" w:color="auto" w:fill="auto"/>
          </w:tcPr>
          <w:p w:rsidR="00201BEE" w:rsidRDefault="005C626C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2 300 000, 00 грн</w:t>
            </w:r>
          </w:p>
          <w:p w:rsidR="005C626C" w:rsidRPr="00201BEE" w:rsidRDefault="005C626C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65" w:type="pct"/>
            <w:shd w:val="clear" w:color="auto" w:fill="auto"/>
          </w:tcPr>
          <w:p w:rsidR="00201BEE" w:rsidRPr="00201BEE" w:rsidRDefault="005C626C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2 300 000, 00 грн</w:t>
            </w:r>
          </w:p>
        </w:tc>
      </w:tr>
      <w:tr w:rsidR="00201BEE" w:rsidRPr="00201BEE" w:rsidTr="00BC5850">
        <w:tc>
          <w:tcPr>
            <w:tcW w:w="110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районні, міські (міст обласного</w:t>
            </w:r>
            <w:r w:rsidRPr="0020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0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значення), об’єднаних територіальних громад бюджети</w:t>
            </w:r>
          </w:p>
        </w:tc>
        <w:tc>
          <w:tcPr>
            <w:tcW w:w="77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6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201BEE" w:rsidRPr="00201BEE" w:rsidTr="00BC5850">
        <w:tc>
          <w:tcPr>
            <w:tcW w:w="110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бюджети сіл, селищ, міст</w:t>
            </w:r>
            <w:r w:rsidRPr="00201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0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районного значення</w:t>
            </w:r>
          </w:p>
        </w:tc>
        <w:tc>
          <w:tcPr>
            <w:tcW w:w="77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6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201BEE" w:rsidRPr="00201BEE" w:rsidTr="00BC5850">
        <w:tc>
          <w:tcPr>
            <w:tcW w:w="110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кошти небюджетних джерел</w:t>
            </w:r>
          </w:p>
        </w:tc>
        <w:tc>
          <w:tcPr>
            <w:tcW w:w="774" w:type="pct"/>
            <w:shd w:val="clear" w:color="auto" w:fill="auto"/>
          </w:tcPr>
          <w:p w:rsidR="00201BEE" w:rsidRPr="00201BEE" w:rsidRDefault="005C626C" w:rsidP="005C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65" w:type="pct"/>
            <w:shd w:val="clear" w:color="auto" w:fill="auto"/>
          </w:tcPr>
          <w:p w:rsidR="00201BEE" w:rsidRPr="00201BEE" w:rsidRDefault="005C626C" w:rsidP="005C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</w:tbl>
    <w:p w:rsidR="00201BEE" w:rsidRPr="00201BEE" w:rsidRDefault="00201BEE" w:rsidP="0020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01BEE" w:rsidRDefault="00201BEE" w:rsidP="00B76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1BEE" w:rsidRDefault="00201BEE" w:rsidP="00B76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1BEE" w:rsidRDefault="00201BEE" w:rsidP="00B76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1BEE" w:rsidRDefault="00201BEE" w:rsidP="00B76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1BEE" w:rsidRDefault="00201BEE" w:rsidP="00B76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1BEE" w:rsidRDefault="00201BEE" w:rsidP="00B76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26C" w:rsidRDefault="005C626C" w:rsidP="0020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1BEE" w:rsidRPr="00201BEE" w:rsidRDefault="00201BEE" w:rsidP="0020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7</w:t>
      </w:r>
    </w:p>
    <w:p w:rsidR="00201BEE" w:rsidRPr="00201BEE" w:rsidRDefault="00201BEE" w:rsidP="0020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01BEE" w:rsidRPr="00201BEE" w:rsidRDefault="00201BEE" w:rsidP="0020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01B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Показники продукту обласної Програми проведення інвентаризації земель </w:t>
      </w:r>
    </w:p>
    <w:p w:rsidR="00201BEE" w:rsidRDefault="00201BEE" w:rsidP="0020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01B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території Житомирської області на 202</w:t>
      </w:r>
      <w:r w:rsidR="00831E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201B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</w:t>
      </w:r>
    </w:p>
    <w:p w:rsidR="00201BEE" w:rsidRPr="00201BEE" w:rsidRDefault="00201BEE" w:rsidP="0020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528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628"/>
        <w:gridCol w:w="1014"/>
        <w:gridCol w:w="1743"/>
        <w:gridCol w:w="1599"/>
        <w:gridCol w:w="726"/>
        <w:gridCol w:w="876"/>
        <w:gridCol w:w="873"/>
        <w:gridCol w:w="876"/>
        <w:gridCol w:w="2490"/>
      </w:tblGrid>
      <w:tr w:rsidR="00201BEE" w:rsidRPr="00201BEE" w:rsidTr="00201BEE">
        <w:tc>
          <w:tcPr>
            <w:tcW w:w="297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1234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показника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Одиниця виміру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Вихідні дані на початок дії програми</w:t>
            </w:r>
          </w:p>
        </w:tc>
        <w:tc>
          <w:tcPr>
            <w:tcW w:w="1088" w:type="pct"/>
            <w:gridSpan w:val="3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 етап виконання програми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ІІ етап (20__ - 20__ роки)</w:t>
            </w:r>
          </w:p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ІІІ етап (20__ - 20__ роки)</w:t>
            </w:r>
          </w:p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47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Всього витрат на виконання програми</w:t>
            </w:r>
          </w:p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1BEE" w:rsidRPr="00201BEE" w:rsidTr="00201BEE">
        <w:tc>
          <w:tcPr>
            <w:tcW w:w="297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34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93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01BEE" w:rsidRPr="00201BEE" w:rsidRDefault="00201BEE" w:rsidP="00831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831E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20__ рік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20__ рік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1BEE" w:rsidRPr="00201BEE" w:rsidTr="00201BEE">
        <w:tc>
          <w:tcPr>
            <w:tcW w:w="297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3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93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4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47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98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97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98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847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</w:tr>
      <w:tr w:rsidR="00201BEE" w:rsidRPr="00201BEE" w:rsidTr="00201BEE"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І</w:t>
            </w:r>
          </w:p>
        </w:tc>
        <w:tc>
          <w:tcPr>
            <w:tcW w:w="4703" w:type="pct"/>
            <w:gridSpan w:val="9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Показники продукту програми</w:t>
            </w:r>
          </w:p>
        </w:tc>
      </w:tr>
      <w:tr w:rsidR="00201BEE" w:rsidRPr="00201BEE" w:rsidTr="00201BEE"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3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proofErr w:type="spellEnd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земель на </w:t>
            </w:r>
            <w:proofErr w:type="spellStart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території</w:t>
            </w:r>
            <w:proofErr w:type="spellEnd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Житомирської</w:t>
            </w:r>
            <w:proofErr w:type="spellEnd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області</w:t>
            </w:r>
            <w:proofErr w:type="spellEnd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інформація</w:t>
            </w:r>
            <w:proofErr w:type="spellEnd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про </w:t>
            </w:r>
            <w:proofErr w:type="spellStart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які</w:t>
            </w:r>
            <w:proofErr w:type="spellEnd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внесена до Державного земельного кадастру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2 761 743,7138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2 982 700,0000</w:t>
            </w:r>
          </w:p>
        </w:tc>
        <w:tc>
          <w:tcPr>
            <w:tcW w:w="247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98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97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98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47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1BEE" w:rsidRPr="00201BEE" w:rsidTr="00201BEE"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1.1</w:t>
            </w:r>
          </w:p>
        </w:tc>
        <w:tc>
          <w:tcPr>
            <w:tcW w:w="123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Землі промисловості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5C626C" w:rsidRPr="00201BEE" w:rsidRDefault="00201BEE" w:rsidP="00E0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1 572,2600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47" w:type="pct"/>
            <w:shd w:val="clear" w:color="auto" w:fill="auto"/>
          </w:tcPr>
          <w:p w:rsidR="00201BEE" w:rsidRDefault="005C626C" w:rsidP="00E0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2 300 000, 00 грн</w:t>
            </w:r>
          </w:p>
          <w:p w:rsidR="00E030B4" w:rsidRPr="00201BEE" w:rsidRDefault="00E030B4" w:rsidP="00E0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1BEE" w:rsidRPr="00201BEE" w:rsidTr="00201BEE"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1.2</w:t>
            </w:r>
          </w:p>
        </w:tc>
        <w:tc>
          <w:tcPr>
            <w:tcW w:w="123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Землі водного фонду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43 388,2117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47" w:type="pct"/>
            <w:shd w:val="clear" w:color="auto" w:fill="auto"/>
          </w:tcPr>
          <w:p w:rsidR="00201BEE" w:rsidRDefault="005C626C" w:rsidP="005C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5C626C" w:rsidRPr="00201BEE" w:rsidRDefault="005C626C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1BEE" w:rsidRPr="00201BEE" w:rsidTr="00201BEE"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1.3</w:t>
            </w:r>
          </w:p>
        </w:tc>
        <w:tc>
          <w:tcPr>
            <w:tcW w:w="123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Землі лісового фонду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135 902,7987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47" w:type="pct"/>
            <w:shd w:val="clear" w:color="auto" w:fill="auto"/>
          </w:tcPr>
          <w:p w:rsidR="00201BEE" w:rsidRDefault="005C626C" w:rsidP="005C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5C626C" w:rsidRPr="00201BEE" w:rsidRDefault="005C626C" w:rsidP="005C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1BEE" w:rsidRPr="00201BEE" w:rsidTr="00201BEE"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1.4</w:t>
            </w:r>
          </w:p>
        </w:tc>
        <w:tc>
          <w:tcPr>
            <w:tcW w:w="123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Землі історико-культурного призначення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36,0700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47" w:type="pct"/>
            <w:shd w:val="clear" w:color="auto" w:fill="auto"/>
          </w:tcPr>
          <w:p w:rsidR="00201BEE" w:rsidRDefault="005C626C" w:rsidP="005C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5C626C" w:rsidRPr="00201BEE" w:rsidRDefault="005C626C" w:rsidP="005C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1BEE" w:rsidRPr="00201BEE" w:rsidTr="00201BEE"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1.5</w:t>
            </w:r>
          </w:p>
        </w:tc>
        <w:tc>
          <w:tcPr>
            <w:tcW w:w="123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Землі рекреаційного призначення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17,1700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47" w:type="pct"/>
            <w:shd w:val="clear" w:color="auto" w:fill="auto"/>
          </w:tcPr>
          <w:p w:rsidR="00201BEE" w:rsidRDefault="005C626C" w:rsidP="005C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5C626C" w:rsidRPr="00201BEE" w:rsidRDefault="005C626C" w:rsidP="005C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1BEE" w:rsidRPr="00201BEE" w:rsidTr="00201BEE"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1.6</w:t>
            </w:r>
          </w:p>
        </w:tc>
        <w:tc>
          <w:tcPr>
            <w:tcW w:w="123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Землі природно-заповідного фонду та іншого природоохоронного призначення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36 419,96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201BEE" w:rsidRPr="00201BEE" w:rsidRDefault="005C626C" w:rsidP="005C626C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201BEE" w:rsidRPr="00201BEE" w:rsidTr="00201BEE"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1.7</w:t>
            </w:r>
          </w:p>
        </w:tc>
        <w:tc>
          <w:tcPr>
            <w:tcW w:w="123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Землі громадської та житлової забудови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13,0375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201BEE" w:rsidRPr="00201BEE" w:rsidTr="00201BEE"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1.8</w:t>
            </w:r>
          </w:p>
        </w:tc>
        <w:tc>
          <w:tcPr>
            <w:tcW w:w="123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Землі сільськогосподарського призначення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3 606,7783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ind w:left="29" w:right="-243" w:hanging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201BEE" w:rsidRPr="00201BEE" w:rsidTr="00201BEE"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ІІ</w:t>
            </w:r>
          </w:p>
        </w:tc>
        <w:tc>
          <w:tcPr>
            <w:tcW w:w="4703" w:type="pct"/>
            <w:gridSpan w:val="9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Показники якості програми</w:t>
            </w:r>
          </w:p>
        </w:tc>
      </w:tr>
      <w:tr w:rsidR="00201BEE" w:rsidRPr="00201BEE" w:rsidTr="00201BEE"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34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Питома вага земель, інформацію про які внесено до Державного земельного кадастру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593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92,6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201BEE" w:rsidRPr="00201BEE" w:rsidRDefault="00E030B4" w:rsidP="00E0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</w:tbl>
    <w:p w:rsidR="00201BEE" w:rsidRDefault="00201BEE" w:rsidP="00B76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1BEE" w:rsidRDefault="00B761BF" w:rsidP="00201BE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01BEE">
        <w:rPr>
          <w:rFonts w:ascii="Times New Roman" w:hAnsi="Times New Roman" w:cs="Times New Roman"/>
          <w:sz w:val="28"/>
          <w:szCs w:val="28"/>
          <w:lang w:val="ru-RU"/>
        </w:rPr>
        <w:lastRenderedPageBreak/>
        <w:t>8</w:t>
      </w:r>
    </w:p>
    <w:p w:rsidR="00201BEE" w:rsidRPr="00201BEE" w:rsidRDefault="00201BEE" w:rsidP="0020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01B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Напрямки діяльності та заходи обласної програми</w:t>
      </w:r>
      <w:r w:rsidRPr="00201BE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Pr="00201B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Програми</w:t>
      </w:r>
      <w:proofErr w:type="spellEnd"/>
      <w:r w:rsidRPr="00201B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проведення інвентаризації земель </w:t>
      </w:r>
    </w:p>
    <w:p w:rsidR="00201BEE" w:rsidRPr="00201BEE" w:rsidRDefault="00201BEE" w:rsidP="0020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01B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території Житомирської області на 202</w:t>
      </w:r>
      <w:r w:rsidR="00831E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201B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</w:t>
      </w:r>
    </w:p>
    <w:p w:rsidR="00201BEE" w:rsidRPr="00201BEE" w:rsidRDefault="00201BEE" w:rsidP="002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489"/>
        <w:gridCol w:w="2694"/>
        <w:gridCol w:w="1147"/>
        <w:gridCol w:w="2146"/>
        <w:gridCol w:w="2008"/>
        <w:gridCol w:w="1717"/>
        <w:gridCol w:w="2653"/>
      </w:tblGrid>
      <w:tr w:rsidR="00485964" w:rsidRPr="00201BEE" w:rsidTr="00485964">
        <w:trPr>
          <w:trHeight w:val="509"/>
        </w:trPr>
        <w:tc>
          <w:tcPr>
            <w:tcW w:w="191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Перелік заходів програми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Термін виконання заходу</w:t>
            </w:r>
          </w:p>
        </w:tc>
        <w:tc>
          <w:tcPr>
            <w:tcW w:w="745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697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Джерела фінансування</w:t>
            </w:r>
          </w:p>
        </w:tc>
        <w:tc>
          <w:tcPr>
            <w:tcW w:w="596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Орієнтовні обсяги фінансування (вартість), </w:t>
            </w:r>
            <w:proofErr w:type="spellStart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тис.грн</w:t>
            </w:r>
            <w:proofErr w:type="spellEnd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., в тому числі: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Очікуваний результат</w:t>
            </w:r>
          </w:p>
        </w:tc>
      </w:tr>
      <w:tr w:rsidR="00485964" w:rsidRPr="00201BEE" w:rsidTr="00485964">
        <w:tc>
          <w:tcPr>
            <w:tcW w:w="191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35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7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96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 етап:   201_ р.</w:t>
            </w:r>
          </w:p>
        </w:tc>
        <w:tc>
          <w:tcPr>
            <w:tcW w:w="922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85964" w:rsidRPr="00201BEE" w:rsidTr="00485964">
        <w:tc>
          <w:tcPr>
            <w:tcW w:w="191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35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7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96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 201_ р.</w:t>
            </w:r>
          </w:p>
        </w:tc>
        <w:tc>
          <w:tcPr>
            <w:tcW w:w="922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85964" w:rsidRPr="00201BEE" w:rsidTr="00485964">
        <w:tc>
          <w:tcPr>
            <w:tcW w:w="191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35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7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96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 201_ р.</w:t>
            </w:r>
          </w:p>
        </w:tc>
        <w:tc>
          <w:tcPr>
            <w:tcW w:w="922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485964" w:rsidRPr="00201BEE" w:rsidTr="00485964">
        <w:tc>
          <w:tcPr>
            <w:tcW w:w="191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35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7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96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ІІ етап:  201_ р.</w:t>
            </w:r>
          </w:p>
        </w:tc>
        <w:tc>
          <w:tcPr>
            <w:tcW w:w="922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485964" w:rsidRPr="00201BEE" w:rsidTr="00485964">
        <w:tc>
          <w:tcPr>
            <w:tcW w:w="191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35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7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96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ІІІ етап: 201_ р.</w:t>
            </w:r>
          </w:p>
        </w:tc>
        <w:tc>
          <w:tcPr>
            <w:tcW w:w="922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485964" w:rsidRPr="00201BEE" w:rsidTr="00485964">
        <w:tc>
          <w:tcPr>
            <w:tcW w:w="191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17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93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98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74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697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596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922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</w:tr>
      <w:tr w:rsidR="00485964" w:rsidRPr="00D772DA" w:rsidTr="00485964">
        <w:tc>
          <w:tcPr>
            <w:tcW w:w="191" w:type="pct"/>
            <w:vMerge w:val="restart"/>
            <w:shd w:val="clear" w:color="auto" w:fill="auto"/>
          </w:tcPr>
          <w:p w:rsidR="00201BEE" w:rsidRPr="00201BEE" w:rsidRDefault="00201BEE" w:rsidP="00201BE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201BEE" w:rsidRPr="00201BEE" w:rsidRDefault="00201BEE" w:rsidP="00201BE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201BEE" w:rsidRPr="00201BEE" w:rsidRDefault="00201BEE" w:rsidP="00201BE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201BEE" w:rsidRPr="00201BEE" w:rsidRDefault="00201BEE" w:rsidP="00201BE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201BEE" w:rsidRPr="00201BEE" w:rsidRDefault="00201BEE" w:rsidP="00201BEE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17" w:type="pct"/>
            <w:vMerge w:val="restar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Проведення інвентаризації земель  на території </w:t>
            </w:r>
            <w:proofErr w:type="spellStart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Житомирськоїобласті</w:t>
            </w:r>
            <w:proofErr w:type="spellEnd"/>
          </w:p>
        </w:tc>
        <w:tc>
          <w:tcPr>
            <w:tcW w:w="93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Визначення місця розташування земельних ділянок</w:t>
            </w:r>
          </w:p>
        </w:tc>
        <w:tc>
          <w:tcPr>
            <w:tcW w:w="398" w:type="pct"/>
            <w:shd w:val="clear" w:color="auto" w:fill="auto"/>
          </w:tcPr>
          <w:p w:rsidR="00201BEE" w:rsidRPr="00201BEE" w:rsidRDefault="00201BEE" w:rsidP="00807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807AD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74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Головне управління Держгеокадастру у Житомирській області</w:t>
            </w:r>
          </w:p>
        </w:tc>
        <w:tc>
          <w:tcPr>
            <w:tcW w:w="697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96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22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Наявність графічних матеріалів із зазначеним місцем розташування земельних ділянок</w:t>
            </w:r>
          </w:p>
        </w:tc>
      </w:tr>
      <w:tr w:rsidR="00485964" w:rsidRPr="00D772DA" w:rsidTr="00485964">
        <w:tc>
          <w:tcPr>
            <w:tcW w:w="191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3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Підготовка </w:t>
            </w:r>
            <w:proofErr w:type="spellStart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проєкту</w:t>
            </w:r>
            <w:proofErr w:type="spellEnd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розпорядження голови облдержадміністрації про надання дозволу на розроблення технічної документації із землеустрою щодо інвентаризації земель</w:t>
            </w:r>
          </w:p>
          <w:p w:rsidR="00201BEE" w:rsidRPr="00201BEE" w:rsidRDefault="00201BEE" w:rsidP="00201B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8" w:type="pct"/>
            <w:shd w:val="clear" w:color="auto" w:fill="auto"/>
          </w:tcPr>
          <w:p w:rsidR="00201BEE" w:rsidRPr="00201BEE" w:rsidRDefault="00201BEE" w:rsidP="00807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807AD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74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Управління екології та природних ресурсів облдержадміністрації</w:t>
            </w:r>
          </w:p>
        </w:tc>
        <w:tc>
          <w:tcPr>
            <w:tcW w:w="697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96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22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Розпорядження голови облдержадміністрації про надання дозволу на розроблення технічної документації із землеустрою щодо інвентаризації земель </w:t>
            </w:r>
          </w:p>
        </w:tc>
      </w:tr>
      <w:tr w:rsidR="00485964" w:rsidRPr="00D772DA" w:rsidTr="00485964">
        <w:trPr>
          <w:trHeight w:val="1915"/>
        </w:trPr>
        <w:tc>
          <w:tcPr>
            <w:tcW w:w="191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Проведення процедури публічних закупівель робіт по розробленню технічної документації із землеустрою щодо інвентаризації земель та</w:t>
            </w:r>
          </w:p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укладання договору на виконання робіт</w:t>
            </w:r>
          </w:p>
        </w:tc>
        <w:tc>
          <w:tcPr>
            <w:tcW w:w="398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807AD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45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Управління екології та природних ресурсів облдержадміністрації</w:t>
            </w:r>
          </w:p>
        </w:tc>
        <w:tc>
          <w:tcPr>
            <w:tcW w:w="697" w:type="pct"/>
            <w:shd w:val="clear" w:color="auto" w:fill="auto"/>
          </w:tcPr>
          <w:p w:rsidR="00201BEE" w:rsidRPr="00201BEE" w:rsidRDefault="005C626C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C626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96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922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Визначення виконавця робіт по розробленню технічної документації із землеустрою щодо інвентаризації земель та укладання договору на виконання </w:t>
            </w:r>
          </w:p>
        </w:tc>
      </w:tr>
    </w:tbl>
    <w:p w:rsidR="00B761BF" w:rsidRPr="00201BEE" w:rsidRDefault="00B761BF" w:rsidP="00B761B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761BF" w:rsidRPr="00B761BF" w:rsidRDefault="00B761BF" w:rsidP="00B761B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61BF"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201BEE" w:rsidRPr="00201BEE" w:rsidRDefault="00201BEE" w:rsidP="0020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1425"/>
        <w:gridCol w:w="2578"/>
        <w:gridCol w:w="1100"/>
        <w:gridCol w:w="2065"/>
        <w:gridCol w:w="1787"/>
        <w:gridCol w:w="1509"/>
        <w:gridCol w:w="2913"/>
      </w:tblGrid>
      <w:tr w:rsidR="00201BEE" w:rsidRPr="00201BEE" w:rsidTr="00485964">
        <w:tc>
          <w:tcPr>
            <w:tcW w:w="187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513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928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96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741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643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543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048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8</w:t>
            </w:r>
          </w:p>
        </w:tc>
      </w:tr>
      <w:tr w:rsidR="00201BEE" w:rsidRPr="00D772DA" w:rsidTr="00485964">
        <w:tc>
          <w:tcPr>
            <w:tcW w:w="187" w:type="pct"/>
            <w:vMerge w:val="restar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13" w:type="pct"/>
            <w:vMerge w:val="restar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28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Виконання робіт з інвентаризації земель відповідно до укладеного договору</w:t>
            </w:r>
          </w:p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E030B4" w:rsidRDefault="00E030B4" w:rsidP="00807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01BEE" w:rsidRPr="00201BEE" w:rsidRDefault="00201BEE" w:rsidP="00E030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831E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</w:t>
            </w:r>
            <w:r w:rsidR="00E030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ік</w:t>
            </w:r>
          </w:p>
        </w:tc>
        <w:tc>
          <w:tcPr>
            <w:tcW w:w="741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Виконавець</w:t>
            </w:r>
            <w:proofErr w:type="spellEnd"/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роб</w:t>
            </w: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іт, визначений за результатами закупівель</w:t>
            </w:r>
          </w:p>
        </w:tc>
        <w:tc>
          <w:tcPr>
            <w:tcW w:w="643" w:type="pct"/>
            <w:shd w:val="clear" w:color="auto" w:fill="auto"/>
          </w:tcPr>
          <w:p w:rsidR="00201BEE" w:rsidRDefault="005C626C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2 300 000,00 грн</w:t>
            </w:r>
          </w:p>
          <w:p w:rsidR="005C626C" w:rsidRPr="00201BEE" w:rsidRDefault="005C626C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 рахунок обласного бюджету</w:t>
            </w:r>
          </w:p>
        </w:tc>
        <w:tc>
          <w:tcPr>
            <w:tcW w:w="543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48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Розроблена технічна документація із землеустрою щодо інвентаризації земель</w:t>
            </w:r>
          </w:p>
        </w:tc>
      </w:tr>
      <w:tr w:rsidR="00201BEE" w:rsidRPr="00D772DA" w:rsidTr="00485964">
        <w:tc>
          <w:tcPr>
            <w:tcW w:w="187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28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Погодження технічної документація із землеустрою щодо інвентаризації земель</w:t>
            </w:r>
          </w:p>
        </w:tc>
        <w:tc>
          <w:tcPr>
            <w:tcW w:w="396" w:type="pct"/>
            <w:shd w:val="clear" w:color="auto" w:fill="auto"/>
          </w:tcPr>
          <w:p w:rsidR="00201BEE" w:rsidRPr="00201BEE" w:rsidRDefault="00201BEE" w:rsidP="0083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831E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741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Виконавець робіт подає документацію на погодження у порядку, визначеному ст. 186 Земельного кодексу України</w:t>
            </w:r>
          </w:p>
        </w:tc>
        <w:tc>
          <w:tcPr>
            <w:tcW w:w="643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43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48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Погоджена технічна документація із землеустрою щодо інвентаризації земель</w:t>
            </w:r>
          </w:p>
        </w:tc>
      </w:tr>
      <w:tr w:rsidR="00201BEE" w:rsidRPr="00D772DA" w:rsidTr="00485964">
        <w:tc>
          <w:tcPr>
            <w:tcW w:w="187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28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Внесення відомостей, отриманих за результатами інвентаризації земель до Державного земельного кадастру. </w:t>
            </w:r>
          </w:p>
        </w:tc>
        <w:tc>
          <w:tcPr>
            <w:tcW w:w="396" w:type="pct"/>
            <w:shd w:val="clear" w:color="auto" w:fill="auto"/>
          </w:tcPr>
          <w:p w:rsidR="00201BEE" w:rsidRPr="00201BEE" w:rsidRDefault="00201BEE" w:rsidP="0083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831E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741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Державні кадастрові реєстратори</w:t>
            </w:r>
            <w:r w:rsidRPr="0020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відповідно </w:t>
            </w: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до </w:t>
            </w:r>
            <w:hyperlink r:id="rId6" w:anchor="n19" w:tgtFrame="_blank" w:history="1">
              <w:r w:rsidRPr="00485964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Порядку ведення Державного земельного кадастру</w:t>
              </w:r>
            </w:hyperlink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, </w:t>
            </w:r>
            <w:r w:rsidRPr="0020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затвердженого постановою Кабінету Міністрів України від 17 жовтня 2012 р. № 1051</w:t>
            </w:r>
          </w:p>
        </w:tc>
        <w:tc>
          <w:tcPr>
            <w:tcW w:w="643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43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48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Наявність витягів з ДЗК про земельні ділянки</w:t>
            </w:r>
          </w:p>
        </w:tc>
      </w:tr>
      <w:tr w:rsidR="00201BEE" w:rsidRPr="00D772DA" w:rsidTr="00485964">
        <w:tc>
          <w:tcPr>
            <w:tcW w:w="187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28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Підготовка </w:t>
            </w:r>
            <w:proofErr w:type="spellStart"/>
            <w:r w:rsidRPr="0020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проєкту</w:t>
            </w:r>
            <w:proofErr w:type="spellEnd"/>
            <w:r w:rsidRPr="0020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розпорядження про затвердження технічної документація із землеустрою щодо інвентаризації земель</w:t>
            </w:r>
          </w:p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201BEE" w:rsidRPr="00201BEE" w:rsidRDefault="00201BEE" w:rsidP="0083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831E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741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Управління екології та природних ресурсів облдержадміністрації</w:t>
            </w:r>
          </w:p>
        </w:tc>
        <w:tc>
          <w:tcPr>
            <w:tcW w:w="643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43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048" w:type="pct"/>
            <w:shd w:val="clear" w:color="auto" w:fill="auto"/>
          </w:tcPr>
          <w:p w:rsidR="00201BEE" w:rsidRPr="00201BEE" w:rsidRDefault="00201BEE" w:rsidP="0020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201B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Розпорядження голови облдержадміністрації про затвердження технічної документації із землеустрою щодо інвентаризації земель</w:t>
            </w:r>
          </w:p>
        </w:tc>
      </w:tr>
    </w:tbl>
    <w:p w:rsidR="00201BEE" w:rsidRPr="00201BEE" w:rsidRDefault="00201BEE" w:rsidP="0020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761BF" w:rsidRPr="00201BEE" w:rsidRDefault="00B761BF">
      <w:pPr>
        <w:rPr>
          <w:rFonts w:ascii="Times New Roman" w:hAnsi="Times New Roman" w:cs="Times New Roman"/>
          <w:sz w:val="28"/>
          <w:szCs w:val="28"/>
          <w:lang w:val="uk-UA"/>
        </w:rPr>
        <w:sectPr w:rsidR="00B761BF" w:rsidRPr="00201BEE" w:rsidSect="00201BEE">
          <w:pgSz w:w="15840" w:h="12240" w:orient="landscape"/>
          <w:pgMar w:top="1134" w:right="1080" w:bottom="1440" w:left="1080" w:header="708" w:footer="708" w:gutter="0"/>
          <w:cols w:space="708"/>
          <w:docGrid w:linePitch="360"/>
        </w:sectPr>
      </w:pPr>
    </w:p>
    <w:p w:rsidR="00B761BF" w:rsidRPr="00B761BF" w:rsidRDefault="00B761BF" w:rsidP="008166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61BF">
        <w:rPr>
          <w:rFonts w:ascii="Times New Roman" w:hAnsi="Times New Roman" w:cs="Times New Roman"/>
          <w:sz w:val="28"/>
          <w:szCs w:val="28"/>
          <w:lang w:val="ru-RU"/>
        </w:rPr>
        <w:lastRenderedPageBreak/>
        <w:t>10</w:t>
      </w:r>
    </w:p>
    <w:p w:rsidR="00B761BF" w:rsidRPr="00B761BF" w:rsidRDefault="00B761BF" w:rsidP="0048596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761BF" w:rsidRPr="00B761BF" w:rsidRDefault="00B761BF" w:rsidP="0048596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61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 </w:t>
      </w:r>
      <w:proofErr w:type="spellStart"/>
      <w:r w:rsidRPr="00B761BF">
        <w:rPr>
          <w:rFonts w:ascii="Times New Roman" w:hAnsi="Times New Roman" w:cs="Times New Roman"/>
          <w:b/>
          <w:sz w:val="28"/>
          <w:szCs w:val="28"/>
          <w:lang w:val="ru-RU"/>
        </w:rPr>
        <w:t>Координація</w:t>
      </w:r>
      <w:proofErr w:type="spellEnd"/>
      <w:r w:rsidRPr="00B761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контроль за ходом </w:t>
      </w:r>
      <w:proofErr w:type="spellStart"/>
      <w:r w:rsidRPr="00B761BF">
        <w:rPr>
          <w:rFonts w:ascii="Times New Roman" w:hAnsi="Times New Roman" w:cs="Times New Roman"/>
          <w:b/>
          <w:sz w:val="28"/>
          <w:szCs w:val="28"/>
          <w:lang w:val="ru-RU"/>
        </w:rPr>
        <w:t>виконання</w:t>
      </w:r>
      <w:proofErr w:type="spellEnd"/>
      <w:r w:rsidRPr="00B761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B761B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B761BF" w:rsidRPr="00B761BF" w:rsidRDefault="00B761BF" w:rsidP="0048596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761BF" w:rsidRPr="00B761BF" w:rsidRDefault="00B761BF" w:rsidP="004859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Координацію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учасниками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, контроль за 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Житомирської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B761BF">
        <w:rPr>
          <w:rFonts w:ascii="Times New Roman" w:hAnsi="Times New Roman" w:cs="Times New Roman"/>
          <w:sz w:val="28"/>
          <w:szCs w:val="28"/>
          <w:lang w:val="ru-RU"/>
        </w:rPr>
        <w:t>іністрації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61BF" w:rsidRPr="00B761BF" w:rsidRDefault="00B761BF" w:rsidP="004859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цільовим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ефективним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Житомирської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адміністрації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профільна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комісія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B761BF" w:rsidRPr="00B761BF" w:rsidRDefault="00B761BF" w:rsidP="004859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Житомирської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адміністрації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відповідальний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виконавець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>, до 25 лютого 202</w:t>
      </w:r>
      <w:r w:rsidR="00831E1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року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готує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подає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="0048596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епартаменту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агропромислового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узагальнену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про стан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61BF" w:rsidRPr="00B761BF" w:rsidRDefault="00B761BF" w:rsidP="00485964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761BF" w:rsidRPr="00B761BF" w:rsidRDefault="00B761BF" w:rsidP="00485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61B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B761B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B761B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B761B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B761B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B761BF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B761BF" w:rsidRPr="00B761BF" w:rsidRDefault="00B761BF" w:rsidP="00485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1BF" w:rsidRPr="00B761BF" w:rsidRDefault="00B761BF" w:rsidP="00485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1BF" w:rsidRPr="00B761BF" w:rsidRDefault="00B761BF" w:rsidP="00485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1BF" w:rsidRPr="00B761BF" w:rsidRDefault="00B761BF" w:rsidP="00485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Перший заступник </w:t>
      </w:r>
    </w:p>
    <w:p w:rsidR="00B761BF" w:rsidRPr="00B761BF" w:rsidRDefault="00B761BF" w:rsidP="00485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1BF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48596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5964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</w:t>
      </w:r>
      <w:r w:rsidR="0048596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596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596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5964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1E12">
        <w:rPr>
          <w:rFonts w:ascii="Times New Roman" w:hAnsi="Times New Roman" w:cs="Times New Roman"/>
          <w:sz w:val="28"/>
          <w:szCs w:val="28"/>
          <w:lang w:val="ru-RU"/>
        </w:rPr>
        <w:t xml:space="preserve">     О</w:t>
      </w:r>
      <w:r w:rsidRPr="00B761BF">
        <w:rPr>
          <w:rFonts w:ascii="Times New Roman" w:hAnsi="Times New Roman" w:cs="Times New Roman"/>
          <w:sz w:val="28"/>
          <w:szCs w:val="28"/>
          <w:lang w:val="ru-RU"/>
        </w:rPr>
        <w:t xml:space="preserve">.М. </w:t>
      </w:r>
      <w:r w:rsidR="00831E12">
        <w:rPr>
          <w:rFonts w:ascii="Times New Roman" w:hAnsi="Times New Roman" w:cs="Times New Roman"/>
          <w:sz w:val="28"/>
          <w:szCs w:val="28"/>
          <w:lang w:val="ru-RU"/>
        </w:rPr>
        <w:t>Дзюбенко</w:t>
      </w:r>
    </w:p>
    <w:p w:rsidR="00B761BF" w:rsidRPr="00B761BF" w:rsidRDefault="00B761BF" w:rsidP="00485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B5E69" w:rsidRPr="00B761BF" w:rsidRDefault="007B5E69" w:rsidP="00485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B5E69" w:rsidRPr="00B761BF" w:rsidSect="004859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5C"/>
    <w:rsid w:val="00107E96"/>
    <w:rsid w:val="001330CD"/>
    <w:rsid w:val="00141E6F"/>
    <w:rsid w:val="00147F5A"/>
    <w:rsid w:val="001567AC"/>
    <w:rsid w:val="001F553D"/>
    <w:rsid w:val="00201BEE"/>
    <w:rsid w:val="003908D9"/>
    <w:rsid w:val="003E19AE"/>
    <w:rsid w:val="00485964"/>
    <w:rsid w:val="005C626C"/>
    <w:rsid w:val="006723AE"/>
    <w:rsid w:val="0069520C"/>
    <w:rsid w:val="007562EE"/>
    <w:rsid w:val="007B5E69"/>
    <w:rsid w:val="00807AD6"/>
    <w:rsid w:val="00816664"/>
    <w:rsid w:val="00831E12"/>
    <w:rsid w:val="00A42134"/>
    <w:rsid w:val="00AE787E"/>
    <w:rsid w:val="00B761BF"/>
    <w:rsid w:val="00BB16DB"/>
    <w:rsid w:val="00BB6F95"/>
    <w:rsid w:val="00C07094"/>
    <w:rsid w:val="00CA6651"/>
    <w:rsid w:val="00CB5CEB"/>
    <w:rsid w:val="00D73E8F"/>
    <w:rsid w:val="00D772DA"/>
    <w:rsid w:val="00E0257F"/>
    <w:rsid w:val="00E030B4"/>
    <w:rsid w:val="00EB6C5C"/>
    <w:rsid w:val="00EC3BEB"/>
    <w:rsid w:val="00FB7733"/>
    <w:rsid w:val="00FE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1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4">
    <w:name w:val="Hyperlink"/>
    <w:basedOn w:val="a0"/>
    <w:uiPriority w:val="99"/>
    <w:semiHidden/>
    <w:unhideWhenUsed/>
    <w:rsid w:val="00B761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1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4">
    <w:name w:val="Hyperlink"/>
    <w:basedOn w:val="a0"/>
    <w:uiPriority w:val="99"/>
    <w:semiHidden/>
    <w:unhideWhenUsed/>
    <w:rsid w:val="00B761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051-2012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1D998-FB05-4827-80A5-3E12140B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9119</Words>
  <Characters>5198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Олександр Дорожинський</cp:lastModifiedBy>
  <cp:revision>3</cp:revision>
  <cp:lastPrinted>2020-12-16T13:54:00Z</cp:lastPrinted>
  <dcterms:created xsi:type="dcterms:W3CDTF">2020-12-16T14:39:00Z</dcterms:created>
  <dcterms:modified xsi:type="dcterms:W3CDTF">2020-12-16T14:39:00Z</dcterms:modified>
</cp:coreProperties>
</file>